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F8" w:rsidRPr="0042066B" w:rsidRDefault="002D47C6" w:rsidP="00F8223D">
      <w:pPr>
        <w:spacing w:line="480" w:lineRule="auto"/>
        <w:jc w:val="center"/>
        <w:rPr>
          <w:rFonts w:ascii="仿宋_GB2312" w:eastAsia="仿宋_GB2312" w:hAnsi="华文中宋"/>
          <w:b/>
          <w:color w:val="000000"/>
          <w:sz w:val="44"/>
          <w:szCs w:val="44"/>
        </w:rPr>
      </w:pPr>
      <w:r w:rsidRPr="002D47C6">
        <w:rPr>
          <w:rFonts w:ascii="仿宋_GB2312" w:eastAsia="仿宋_GB2312" w:hAnsi="华文中宋" w:hint="eastAsia"/>
          <w:b/>
          <w:color w:val="000000"/>
          <w:sz w:val="44"/>
          <w:szCs w:val="44"/>
        </w:rPr>
        <w:t>长江</w:t>
      </w:r>
      <w:r w:rsidR="00AB3C9C">
        <w:rPr>
          <w:rFonts w:ascii="仿宋_GB2312" w:eastAsia="仿宋_GB2312" w:hAnsi="华文中宋" w:hint="eastAsia"/>
          <w:b/>
          <w:color w:val="000000"/>
          <w:sz w:val="44"/>
          <w:szCs w:val="44"/>
        </w:rPr>
        <w:t>养老保险股份有限公司</w:t>
      </w:r>
    </w:p>
    <w:p w:rsidR="00AB3C9C" w:rsidRPr="00AB3C9C" w:rsidRDefault="00AB3C9C" w:rsidP="00AB3C9C">
      <w:pPr>
        <w:spacing w:line="480" w:lineRule="auto"/>
        <w:jc w:val="center"/>
        <w:rPr>
          <w:rFonts w:ascii="Verdana" w:hAnsi="Verdana" w:cs="宋体"/>
          <w:kern w:val="0"/>
          <w:sz w:val="18"/>
          <w:szCs w:val="18"/>
        </w:rPr>
      </w:pPr>
      <w:r>
        <w:rPr>
          <w:rFonts w:ascii="仿宋_GB2312" w:eastAsia="仿宋_GB2312" w:hAnsi="华文中宋" w:hint="eastAsia"/>
          <w:b/>
          <w:color w:val="000000"/>
          <w:sz w:val="44"/>
          <w:szCs w:val="44"/>
        </w:rPr>
        <w:t>养老金产品</w:t>
      </w:r>
      <w:r w:rsidR="00820DD8" w:rsidRPr="0042066B">
        <w:rPr>
          <w:rFonts w:ascii="仿宋_GB2312" w:eastAsia="仿宋_GB2312" w:hAnsi="华文中宋" w:hint="eastAsia"/>
          <w:b/>
          <w:color w:val="000000"/>
          <w:sz w:val="44"/>
          <w:szCs w:val="44"/>
        </w:rPr>
        <w:t>投资</w:t>
      </w:r>
      <w:r>
        <w:rPr>
          <w:rFonts w:ascii="仿宋_GB2312" w:eastAsia="仿宋_GB2312" w:hAnsi="华文中宋" w:hint="eastAsia"/>
          <w:b/>
          <w:color w:val="000000"/>
          <w:sz w:val="44"/>
          <w:szCs w:val="44"/>
        </w:rPr>
        <w:t>转换业务公告</w:t>
      </w:r>
    </w:p>
    <w:p w:rsidR="00042148" w:rsidRDefault="00042148" w:rsidP="00AB3C9C">
      <w:pPr>
        <w:widowControl/>
        <w:spacing w:before="100" w:beforeAutospacing="1" w:after="100" w:afterAutospacing="1" w:line="360" w:lineRule="auto"/>
        <w:ind w:firstLine="480"/>
        <w:jc w:val="left"/>
        <w:rPr>
          <w:rFonts w:ascii="宋体" w:hAnsi="宋体" w:cs="宋体"/>
          <w:kern w:val="0"/>
          <w:sz w:val="24"/>
          <w:szCs w:val="24"/>
        </w:rPr>
      </w:pPr>
    </w:p>
    <w:p w:rsidR="00AB3C9C" w:rsidRPr="00042148" w:rsidRDefault="00AB3C9C" w:rsidP="00AB3C9C">
      <w:pPr>
        <w:widowControl/>
        <w:spacing w:before="100" w:beforeAutospacing="1" w:after="100" w:afterAutospacing="1" w:line="360" w:lineRule="auto"/>
        <w:ind w:firstLine="480"/>
        <w:jc w:val="left"/>
        <w:rPr>
          <w:rFonts w:eastAsia="仿宋_GB2312"/>
          <w:sz w:val="28"/>
          <w:szCs w:val="28"/>
        </w:rPr>
      </w:pPr>
      <w:r w:rsidRPr="00042148">
        <w:rPr>
          <w:rFonts w:eastAsia="仿宋_GB2312" w:hint="eastAsia"/>
          <w:sz w:val="28"/>
          <w:szCs w:val="28"/>
        </w:rPr>
        <w:t>为满足广大投资者的投资</w:t>
      </w:r>
      <w:r w:rsidRPr="00AB3C9C">
        <w:rPr>
          <w:rFonts w:eastAsia="仿宋_GB2312" w:hint="eastAsia"/>
          <w:sz w:val="28"/>
          <w:szCs w:val="28"/>
        </w:rPr>
        <w:t>需求，</w:t>
      </w:r>
      <w:r w:rsidRPr="00042148">
        <w:rPr>
          <w:rFonts w:eastAsia="仿宋_GB2312" w:hint="eastAsia"/>
          <w:sz w:val="28"/>
          <w:szCs w:val="28"/>
        </w:rPr>
        <w:t>长江养老保险股份有限公司</w:t>
      </w:r>
      <w:r w:rsidRPr="00AB3C9C">
        <w:rPr>
          <w:rFonts w:eastAsia="仿宋_GB2312" w:hint="eastAsia"/>
          <w:sz w:val="28"/>
          <w:szCs w:val="28"/>
        </w:rPr>
        <w:t>（以下简称“本公司”）决定从</w:t>
      </w:r>
      <w:r w:rsidRPr="00042148">
        <w:rPr>
          <w:rFonts w:eastAsia="仿宋_GB2312"/>
          <w:sz w:val="28"/>
          <w:szCs w:val="28"/>
        </w:rPr>
        <w:t>20</w:t>
      </w:r>
      <w:r w:rsidRPr="00042148">
        <w:rPr>
          <w:rFonts w:eastAsia="仿宋_GB2312" w:hint="eastAsia"/>
          <w:sz w:val="28"/>
          <w:szCs w:val="28"/>
        </w:rPr>
        <w:t>18</w:t>
      </w:r>
      <w:r w:rsidRPr="00AB3C9C">
        <w:rPr>
          <w:rFonts w:eastAsia="仿宋_GB2312" w:hint="eastAsia"/>
          <w:sz w:val="28"/>
          <w:szCs w:val="28"/>
        </w:rPr>
        <w:t>年</w:t>
      </w:r>
      <w:r w:rsidRPr="00042148">
        <w:rPr>
          <w:rFonts w:eastAsia="仿宋_GB2312" w:hint="eastAsia"/>
          <w:sz w:val="28"/>
          <w:szCs w:val="28"/>
        </w:rPr>
        <w:t>1</w:t>
      </w:r>
      <w:r w:rsidRPr="00AB3C9C">
        <w:rPr>
          <w:rFonts w:eastAsia="仿宋_GB2312" w:hint="eastAsia"/>
          <w:sz w:val="28"/>
          <w:szCs w:val="28"/>
        </w:rPr>
        <w:t>月</w:t>
      </w:r>
      <w:r w:rsidRPr="00AB3C9C">
        <w:rPr>
          <w:rFonts w:eastAsia="仿宋_GB2312"/>
          <w:sz w:val="28"/>
          <w:szCs w:val="28"/>
        </w:rPr>
        <w:t>2</w:t>
      </w:r>
      <w:r w:rsidRPr="00042148">
        <w:rPr>
          <w:rFonts w:eastAsia="仿宋_GB2312" w:hint="eastAsia"/>
          <w:sz w:val="28"/>
          <w:szCs w:val="28"/>
        </w:rPr>
        <w:t>2</w:t>
      </w:r>
      <w:r w:rsidRPr="00AB3C9C">
        <w:rPr>
          <w:rFonts w:eastAsia="仿宋_GB2312" w:hint="eastAsia"/>
          <w:sz w:val="28"/>
          <w:szCs w:val="28"/>
        </w:rPr>
        <w:t>日开始正式推出开放式</w:t>
      </w:r>
      <w:r w:rsidRPr="00042148">
        <w:rPr>
          <w:rFonts w:eastAsia="仿宋_GB2312" w:hint="eastAsia"/>
          <w:sz w:val="28"/>
          <w:szCs w:val="28"/>
        </w:rPr>
        <w:t>养老金产品投资</w:t>
      </w:r>
      <w:r w:rsidRPr="00AB3C9C">
        <w:rPr>
          <w:rFonts w:eastAsia="仿宋_GB2312" w:hint="eastAsia"/>
          <w:sz w:val="28"/>
          <w:szCs w:val="28"/>
        </w:rPr>
        <w:t>转换业务。</w:t>
      </w:r>
      <w:bookmarkStart w:id="0" w:name="OLE_LINK1"/>
      <w:r w:rsidRPr="00042148">
        <w:rPr>
          <w:rFonts w:eastAsia="仿宋_GB2312" w:hint="eastAsia"/>
          <w:sz w:val="28"/>
          <w:szCs w:val="28"/>
        </w:rPr>
        <w:t xml:space="preserve">   </w:t>
      </w:r>
    </w:p>
    <w:p w:rsidR="00AB3C9C" w:rsidRPr="00042148" w:rsidRDefault="00AB3C9C" w:rsidP="00AB3C9C">
      <w:pPr>
        <w:widowControl/>
        <w:spacing w:before="100" w:beforeAutospacing="1" w:after="100" w:afterAutospacing="1" w:line="360" w:lineRule="auto"/>
        <w:ind w:firstLine="480"/>
        <w:jc w:val="left"/>
        <w:rPr>
          <w:rFonts w:eastAsia="仿宋_GB2312"/>
          <w:sz w:val="28"/>
          <w:szCs w:val="28"/>
        </w:rPr>
      </w:pPr>
      <w:r w:rsidRPr="00AB3C9C">
        <w:rPr>
          <w:rFonts w:eastAsia="仿宋_GB2312" w:hint="eastAsia"/>
          <w:sz w:val="28"/>
          <w:szCs w:val="28"/>
        </w:rPr>
        <w:t>该业务适用于本公司已发行和管理的</w:t>
      </w:r>
      <w:bookmarkEnd w:id="0"/>
      <w:r w:rsidRPr="00042148">
        <w:rPr>
          <w:rFonts w:eastAsia="仿宋_GB2312" w:hint="eastAsia"/>
          <w:sz w:val="28"/>
          <w:szCs w:val="28"/>
        </w:rPr>
        <w:t>主动管理型养老金产品及长江金色稳赢</w:t>
      </w:r>
      <w:r w:rsidRPr="00042148">
        <w:rPr>
          <w:rFonts w:eastAsia="仿宋_GB2312" w:hint="eastAsia"/>
          <w:sz w:val="28"/>
          <w:szCs w:val="28"/>
        </w:rPr>
        <w:t>1</w:t>
      </w:r>
      <w:r w:rsidRPr="00042148">
        <w:rPr>
          <w:rFonts w:eastAsia="仿宋_GB2312" w:hint="eastAsia"/>
          <w:sz w:val="28"/>
          <w:szCs w:val="28"/>
        </w:rPr>
        <w:t>号分期存款型养老金产品。</w:t>
      </w:r>
      <w:r w:rsidRPr="00AB3C9C">
        <w:rPr>
          <w:rFonts w:eastAsia="仿宋_GB2312" w:hint="eastAsia"/>
          <w:sz w:val="28"/>
          <w:szCs w:val="28"/>
        </w:rPr>
        <w:t>本公司今后发行的</w:t>
      </w:r>
      <w:r w:rsidRPr="00042148">
        <w:rPr>
          <w:rFonts w:eastAsia="仿宋_GB2312" w:hint="eastAsia"/>
          <w:sz w:val="28"/>
          <w:szCs w:val="28"/>
        </w:rPr>
        <w:t>养老金产品</w:t>
      </w:r>
      <w:r w:rsidRPr="00AB3C9C">
        <w:rPr>
          <w:rFonts w:eastAsia="仿宋_GB2312" w:hint="eastAsia"/>
          <w:sz w:val="28"/>
          <w:szCs w:val="28"/>
        </w:rPr>
        <w:t>将根据具体情况确定是否适用于上述业务。</w:t>
      </w:r>
    </w:p>
    <w:p w:rsidR="00AB3C9C" w:rsidRPr="00AB3C9C" w:rsidRDefault="00AB3C9C" w:rsidP="00AB3C9C">
      <w:pPr>
        <w:widowControl/>
        <w:spacing w:before="100" w:beforeAutospacing="1" w:after="100" w:afterAutospacing="1" w:line="360" w:lineRule="auto"/>
        <w:ind w:firstLine="480"/>
        <w:jc w:val="left"/>
        <w:rPr>
          <w:rFonts w:eastAsia="仿宋_GB2312"/>
          <w:sz w:val="28"/>
          <w:szCs w:val="28"/>
        </w:rPr>
      </w:pPr>
      <w:r w:rsidRPr="00AB3C9C">
        <w:rPr>
          <w:rFonts w:eastAsia="仿宋_GB2312" w:hint="eastAsia"/>
          <w:sz w:val="28"/>
          <w:szCs w:val="28"/>
        </w:rPr>
        <w:t>现将有关事宜公告如下：</w:t>
      </w:r>
      <w:r w:rsidRPr="00042148">
        <w:rPr>
          <w:rFonts w:eastAsia="仿宋_GB2312" w:hint="eastAsia"/>
          <w:sz w:val="28"/>
          <w:szCs w:val="28"/>
        </w:rPr>
        <w:t xml:space="preserve"> </w:t>
      </w:r>
    </w:p>
    <w:p w:rsidR="00AB3C9C" w:rsidRPr="00042148" w:rsidRDefault="00AB3C9C" w:rsidP="00AB3C9C">
      <w:pPr>
        <w:widowControl/>
        <w:spacing w:before="100" w:beforeAutospacing="1" w:after="100" w:afterAutospacing="1" w:line="360" w:lineRule="auto"/>
        <w:ind w:firstLine="480"/>
        <w:jc w:val="left"/>
        <w:rPr>
          <w:rFonts w:eastAsia="仿宋_GB2312"/>
          <w:sz w:val="28"/>
          <w:szCs w:val="28"/>
        </w:rPr>
      </w:pPr>
      <w:r w:rsidRPr="00AB3C9C">
        <w:rPr>
          <w:rFonts w:eastAsia="仿宋_GB2312"/>
          <w:sz w:val="28"/>
          <w:szCs w:val="28"/>
        </w:rPr>
        <w:t>1</w:t>
      </w:r>
      <w:r w:rsidRPr="00AB3C9C">
        <w:rPr>
          <w:rFonts w:eastAsia="仿宋_GB2312"/>
          <w:sz w:val="28"/>
          <w:szCs w:val="28"/>
        </w:rPr>
        <w:t>、</w:t>
      </w:r>
      <w:r w:rsidRPr="00042148">
        <w:rPr>
          <w:rFonts w:eastAsia="仿宋_GB2312" w:hint="eastAsia"/>
          <w:sz w:val="28"/>
          <w:szCs w:val="28"/>
        </w:rPr>
        <w:t>产品转换：指产品投资人按照本产品合同和投资管理人届时有效公告规定的条件，申请将其持有投资管理人管理的、某一养老金产品（各分期账户，如有）的产品份额转换为投资管理人管理的、且由同一注册登记人办理注册登记的其他养老金产品（各分期账户，如有）产品份额的行为。</w:t>
      </w:r>
      <w:r w:rsidRPr="00AB3C9C">
        <w:rPr>
          <w:rFonts w:eastAsia="仿宋_GB2312" w:hint="eastAsia"/>
          <w:sz w:val="28"/>
          <w:szCs w:val="28"/>
        </w:rPr>
        <w:t>例如，在本公司目前已经发行的</w:t>
      </w:r>
      <w:r w:rsidRPr="00042148">
        <w:rPr>
          <w:rFonts w:eastAsia="仿宋_GB2312" w:hint="eastAsia"/>
          <w:sz w:val="28"/>
          <w:szCs w:val="28"/>
        </w:rPr>
        <w:t>养老金产品中</w:t>
      </w:r>
      <w:r w:rsidRPr="00AB3C9C">
        <w:rPr>
          <w:rFonts w:eastAsia="仿宋_GB2312" w:hint="eastAsia"/>
          <w:sz w:val="28"/>
          <w:szCs w:val="28"/>
        </w:rPr>
        <w:t>，投资者可以将持有的</w:t>
      </w:r>
      <w:r w:rsidRPr="00042148">
        <w:rPr>
          <w:rFonts w:eastAsia="仿宋_GB2312" w:hint="eastAsia"/>
          <w:sz w:val="28"/>
          <w:szCs w:val="28"/>
        </w:rPr>
        <w:t>长江金色晚</w:t>
      </w:r>
      <w:proofErr w:type="gramStart"/>
      <w:r w:rsidRPr="00042148">
        <w:rPr>
          <w:rFonts w:eastAsia="仿宋_GB2312" w:hint="eastAsia"/>
          <w:sz w:val="28"/>
          <w:szCs w:val="28"/>
        </w:rPr>
        <w:t>晴固定</w:t>
      </w:r>
      <w:proofErr w:type="gramEnd"/>
      <w:r w:rsidRPr="00042148">
        <w:rPr>
          <w:rFonts w:eastAsia="仿宋_GB2312" w:hint="eastAsia"/>
          <w:sz w:val="28"/>
          <w:szCs w:val="28"/>
        </w:rPr>
        <w:t>收益型养老金产品</w:t>
      </w:r>
      <w:r w:rsidRPr="00AB3C9C">
        <w:rPr>
          <w:rFonts w:eastAsia="仿宋_GB2312" w:hint="eastAsia"/>
          <w:sz w:val="28"/>
          <w:szCs w:val="28"/>
        </w:rPr>
        <w:t>的份额转换为</w:t>
      </w:r>
      <w:r w:rsidRPr="00042148">
        <w:rPr>
          <w:rFonts w:eastAsia="仿宋_GB2312" w:hint="eastAsia"/>
          <w:sz w:val="28"/>
          <w:szCs w:val="28"/>
        </w:rPr>
        <w:t>长江金色稳赢</w:t>
      </w:r>
      <w:r w:rsidRPr="00042148">
        <w:rPr>
          <w:rFonts w:eastAsia="仿宋_GB2312" w:hint="eastAsia"/>
          <w:sz w:val="28"/>
          <w:szCs w:val="28"/>
        </w:rPr>
        <w:t>1</w:t>
      </w:r>
      <w:r w:rsidRPr="00042148">
        <w:rPr>
          <w:rFonts w:eastAsia="仿宋_GB2312" w:hint="eastAsia"/>
          <w:sz w:val="28"/>
          <w:szCs w:val="28"/>
        </w:rPr>
        <w:t>号分期存款型</w:t>
      </w:r>
      <w:r w:rsidRPr="00042148">
        <w:rPr>
          <w:rFonts w:eastAsia="仿宋_GB2312" w:hint="eastAsia"/>
          <w:sz w:val="28"/>
          <w:szCs w:val="28"/>
        </w:rPr>
        <w:t>1</w:t>
      </w:r>
      <w:r w:rsidRPr="00042148">
        <w:rPr>
          <w:rFonts w:eastAsia="仿宋_GB2312" w:hint="eastAsia"/>
          <w:sz w:val="28"/>
          <w:szCs w:val="28"/>
        </w:rPr>
        <w:t>期的产品</w:t>
      </w:r>
      <w:r w:rsidRPr="00AB3C9C">
        <w:rPr>
          <w:rFonts w:eastAsia="仿宋_GB2312" w:hint="eastAsia"/>
          <w:sz w:val="28"/>
          <w:szCs w:val="28"/>
        </w:rPr>
        <w:t>份额。</w:t>
      </w:r>
    </w:p>
    <w:p w:rsidR="00042148" w:rsidRPr="00042148" w:rsidRDefault="00042148" w:rsidP="00AB3C9C">
      <w:pPr>
        <w:widowControl/>
        <w:spacing w:before="100" w:beforeAutospacing="1" w:after="100" w:afterAutospacing="1" w:line="360" w:lineRule="auto"/>
        <w:ind w:firstLine="480"/>
        <w:jc w:val="left"/>
        <w:rPr>
          <w:rFonts w:eastAsia="仿宋_GB2312"/>
          <w:sz w:val="28"/>
          <w:szCs w:val="28"/>
        </w:rPr>
      </w:pPr>
      <w:r w:rsidRPr="00042148">
        <w:rPr>
          <w:rFonts w:eastAsia="仿宋_GB2312" w:hint="eastAsia"/>
          <w:sz w:val="28"/>
          <w:szCs w:val="28"/>
        </w:rPr>
        <w:t>2</w:t>
      </w:r>
      <w:r w:rsidRPr="00042148">
        <w:rPr>
          <w:rFonts w:eastAsia="仿宋_GB2312" w:hint="eastAsia"/>
          <w:sz w:val="28"/>
          <w:szCs w:val="28"/>
        </w:rPr>
        <w:t>、</w:t>
      </w:r>
      <w:r w:rsidR="001C671E" w:rsidRPr="001C671E">
        <w:rPr>
          <w:rFonts w:eastAsia="仿宋_GB2312" w:hint="eastAsia"/>
          <w:sz w:val="28"/>
          <w:szCs w:val="28"/>
        </w:rPr>
        <w:t>投资人需在转出养老金产品（各分期账户，如有）和转入养老金产品（各分期账户，如有）</w:t>
      </w:r>
      <w:proofErr w:type="gramStart"/>
      <w:r w:rsidR="001C671E" w:rsidRPr="001C671E">
        <w:rPr>
          <w:rFonts w:eastAsia="仿宋_GB2312" w:hint="eastAsia"/>
          <w:sz w:val="28"/>
          <w:szCs w:val="28"/>
        </w:rPr>
        <w:t>均开放</w:t>
      </w:r>
      <w:proofErr w:type="gramEnd"/>
      <w:r w:rsidR="001C671E" w:rsidRPr="001C671E">
        <w:rPr>
          <w:rFonts w:eastAsia="仿宋_GB2312" w:hint="eastAsia"/>
          <w:sz w:val="28"/>
          <w:szCs w:val="28"/>
        </w:rPr>
        <w:t>交易的当日，方可成功办理养老金产品转换业务。投资人转出养老金产品的份额数量不得超过申请</w:t>
      </w:r>
      <w:r w:rsidR="001C671E" w:rsidRPr="001C671E">
        <w:rPr>
          <w:rFonts w:eastAsia="仿宋_GB2312" w:hint="eastAsia"/>
          <w:sz w:val="28"/>
          <w:szCs w:val="28"/>
        </w:rPr>
        <w:lastRenderedPageBreak/>
        <w:t>日该账户的养老金产品可用余额。养老金产品持有人可将其全部或部分养老金产品份额转换成其它养老金产品份额。转出养老金产品份额遵循“先进先出”的原则，养老金产品转换的目标养老金产品份额按转入交易计算持有时间。</w:t>
      </w:r>
    </w:p>
    <w:p w:rsidR="00042148" w:rsidRPr="00AB3C9C" w:rsidRDefault="00042148" w:rsidP="00042148">
      <w:pPr>
        <w:tabs>
          <w:tab w:val="left" w:pos="1260"/>
        </w:tabs>
        <w:spacing w:beforeLines="50" w:before="156" w:line="360" w:lineRule="auto"/>
        <w:ind w:firstLineChars="200" w:firstLine="560"/>
        <w:rPr>
          <w:rFonts w:eastAsia="仿宋_GB2312"/>
          <w:sz w:val="28"/>
          <w:szCs w:val="28"/>
        </w:rPr>
      </w:pPr>
      <w:r w:rsidRPr="00042148">
        <w:rPr>
          <w:rFonts w:eastAsia="仿宋_GB2312" w:hint="eastAsia"/>
          <w:sz w:val="28"/>
          <w:szCs w:val="28"/>
        </w:rPr>
        <w:t>3</w:t>
      </w:r>
      <w:r w:rsidRPr="00042148">
        <w:rPr>
          <w:rFonts w:eastAsia="仿宋_GB2312" w:hint="eastAsia"/>
          <w:sz w:val="28"/>
          <w:szCs w:val="28"/>
        </w:rPr>
        <w:t>、</w:t>
      </w:r>
      <w:bookmarkStart w:id="1" w:name="_GoBack"/>
      <w:r w:rsidR="001C671E" w:rsidRPr="001C671E">
        <w:rPr>
          <w:rFonts w:eastAsia="仿宋_GB2312" w:hint="eastAsia"/>
          <w:sz w:val="28"/>
          <w:szCs w:val="28"/>
        </w:rPr>
        <w:t>养老金产品注册登记人以申请有效日为养老金产品转换日（</w:t>
      </w:r>
      <w:r w:rsidR="001C671E" w:rsidRPr="001C671E">
        <w:rPr>
          <w:rFonts w:eastAsia="仿宋_GB2312" w:hint="eastAsia"/>
          <w:sz w:val="28"/>
          <w:szCs w:val="28"/>
        </w:rPr>
        <w:t>T</w:t>
      </w:r>
      <w:r w:rsidR="001C671E" w:rsidRPr="001C671E">
        <w:rPr>
          <w:rFonts w:eastAsia="仿宋_GB2312" w:hint="eastAsia"/>
          <w:sz w:val="28"/>
          <w:szCs w:val="28"/>
        </w:rPr>
        <w:t>日），以</w:t>
      </w:r>
      <w:r w:rsidR="001C671E" w:rsidRPr="001C671E">
        <w:rPr>
          <w:rFonts w:eastAsia="仿宋_GB2312" w:hint="eastAsia"/>
          <w:sz w:val="28"/>
          <w:szCs w:val="28"/>
        </w:rPr>
        <w:t>T</w:t>
      </w:r>
      <w:r w:rsidR="001C671E" w:rsidRPr="001C671E">
        <w:rPr>
          <w:rFonts w:eastAsia="仿宋_GB2312" w:hint="eastAsia"/>
          <w:sz w:val="28"/>
          <w:szCs w:val="28"/>
        </w:rPr>
        <w:t>日的转出养老金产品（各分期账户，如有）的单位净值为基础计算转出金额，并以</w:t>
      </w:r>
      <w:r w:rsidR="001C671E" w:rsidRPr="001C671E">
        <w:rPr>
          <w:rFonts w:eastAsia="仿宋_GB2312" w:hint="eastAsia"/>
          <w:sz w:val="28"/>
          <w:szCs w:val="28"/>
        </w:rPr>
        <w:t>T</w:t>
      </w:r>
      <w:r w:rsidR="001C671E" w:rsidRPr="001C671E">
        <w:rPr>
          <w:rFonts w:eastAsia="仿宋_GB2312" w:hint="eastAsia"/>
          <w:sz w:val="28"/>
          <w:szCs w:val="28"/>
        </w:rPr>
        <w:t>日转入养老金产品（各分期账户，如有）的单位净值为基础计算转入份额。投资人</w:t>
      </w:r>
      <w:r w:rsidR="001C671E" w:rsidRPr="001C671E">
        <w:rPr>
          <w:rFonts w:eastAsia="仿宋_GB2312" w:hint="eastAsia"/>
          <w:sz w:val="28"/>
          <w:szCs w:val="28"/>
        </w:rPr>
        <w:t>T</w:t>
      </w:r>
      <w:r w:rsidR="001C671E" w:rsidRPr="001C671E">
        <w:rPr>
          <w:rFonts w:eastAsia="仿宋_GB2312" w:hint="eastAsia"/>
          <w:sz w:val="28"/>
          <w:szCs w:val="28"/>
        </w:rPr>
        <w:t>日转换成功后，注册登记人于</w:t>
      </w:r>
      <w:r w:rsidR="001C671E" w:rsidRPr="001C671E">
        <w:rPr>
          <w:rFonts w:eastAsia="仿宋_GB2312" w:hint="eastAsia"/>
          <w:sz w:val="28"/>
          <w:szCs w:val="28"/>
        </w:rPr>
        <w:t>T+1</w:t>
      </w:r>
      <w:r w:rsidR="001C671E" w:rsidRPr="001C671E">
        <w:rPr>
          <w:rFonts w:eastAsia="仿宋_GB2312" w:hint="eastAsia"/>
          <w:sz w:val="28"/>
          <w:szCs w:val="28"/>
        </w:rPr>
        <w:t>工作日为投资人的转出及转入养老金产品（各分期账户，如有）份额分别进行权益撤销和权益登记，转入的养老金产品（各分期账户，如有）份额于</w:t>
      </w:r>
      <w:r w:rsidR="001C671E" w:rsidRPr="001C671E">
        <w:rPr>
          <w:rFonts w:eastAsia="仿宋_GB2312" w:hint="eastAsia"/>
          <w:sz w:val="28"/>
          <w:szCs w:val="28"/>
        </w:rPr>
        <w:t>T+2</w:t>
      </w:r>
      <w:r w:rsidR="001C671E" w:rsidRPr="001C671E">
        <w:rPr>
          <w:rFonts w:eastAsia="仿宋_GB2312" w:hint="eastAsia"/>
          <w:sz w:val="28"/>
          <w:szCs w:val="28"/>
        </w:rPr>
        <w:t>工作日可赎回。如养老金产品合同、投资说明书及其他相关文件另有约定的，按约定方式进行养老金产品转换和进行权益的确认。</w:t>
      </w:r>
      <w:r w:rsidRPr="00042148">
        <w:rPr>
          <w:rFonts w:eastAsia="仿宋_GB2312"/>
          <w:sz w:val="28"/>
          <w:szCs w:val="28"/>
        </w:rPr>
        <w:t>但对涉及某些特定养老金产品的转换业务</w:t>
      </w:r>
      <w:r w:rsidRPr="00042148">
        <w:rPr>
          <w:rFonts w:eastAsia="仿宋_GB2312" w:hint="eastAsia"/>
          <w:sz w:val="28"/>
          <w:szCs w:val="28"/>
        </w:rPr>
        <w:t>，</w:t>
      </w:r>
      <w:r w:rsidRPr="00042148">
        <w:rPr>
          <w:rFonts w:eastAsia="仿宋_GB2312"/>
          <w:sz w:val="28"/>
          <w:szCs w:val="28"/>
        </w:rPr>
        <w:t>应当采用具体由养老金产品合同、投资说明书及其他相关文件约定的方式进行养老金产品转换和进行权益的确认。</w:t>
      </w:r>
    </w:p>
    <w:bookmarkEnd w:id="1"/>
    <w:p w:rsidR="00AB3C9C" w:rsidRPr="0054267F" w:rsidRDefault="00042148" w:rsidP="00042148">
      <w:pPr>
        <w:widowControl/>
        <w:spacing w:before="100" w:beforeAutospacing="1" w:after="100" w:afterAutospacing="1" w:line="360" w:lineRule="auto"/>
        <w:ind w:firstLine="480"/>
        <w:jc w:val="left"/>
        <w:rPr>
          <w:rFonts w:eastAsia="仿宋_GB2312"/>
          <w:sz w:val="28"/>
          <w:szCs w:val="28"/>
        </w:rPr>
      </w:pPr>
      <w:r>
        <w:rPr>
          <w:rFonts w:ascii="Times New Roman" w:hAnsi="Times New Roman" w:cs="宋体" w:hint="eastAsia"/>
          <w:kern w:val="0"/>
          <w:sz w:val="24"/>
          <w:szCs w:val="24"/>
        </w:rPr>
        <w:t>4</w:t>
      </w:r>
      <w:r>
        <w:rPr>
          <w:rFonts w:ascii="Times New Roman" w:hAnsi="Times New Roman" w:cs="宋体" w:hint="eastAsia"/>
          <w:kern w:val="0"/>
          <w:sz w:val="24"/>
          <w:szCs w:val="24"/>
        </w:rPr>
        <w:t>、</w:t>
      </w:r>
      <w:r w:rsidR="00AB3C9C" w:rsidRPr="0054267F">
        <w:rPr>
          <w:rFonts w:eastAsia="仿宋_GB2312"/>
          <w:sz w:val="28"/>
          <w:szCs w:val="28"/>
        </w:rPr>
        <w:t>投资人养老金产品转出须符合本公司对转出份额下限和养老金产品合同规定的养老金产品份额持有下限的有关要求。如投资人办理养老金产品转换出后该养老金产品（</w:t>
      </w:r>
      <w:r w:rsidR="00AB3C9C" w:rsidRPr="0054267F">
        <w:rPr>
          <w:rFonts w:eastAsia="仿宋_GB2312"/>
          <w:color w:val="000000"/>
          <w:sz w:val="28"/>
          <w:szCs w:val="28"/>
        </w:rPr>
        <w:t>各</w:t>
      </w:r>
      <w:r w:rsidR="00AB3C9C" w:rsidRPr="0054267F">
        <w:rPr>
          <w:rFonts w:eastAsia="仿宋_GB2312"/>
          <w:sz w:val="28"/>
          <w:szCs w:val="28"/>
        </w:rPr>
        <w:t>分期账户，如有）份额类别的份额余额低于规定的最低余额，投资管理人有权将该养老金产品份额类别的余额部分强制赎回。</w:t>
      </w:r>
    </w:p>
    <w:p w:rsidR="00AB3C9C" w:rsidRDefault="00042148" w:rsidP="00042148">
      <w:pPr>
        <w:tabs>
          <w:tab w:val="left" w:pos="1260"/>
        </w:tabs>
        <w:spacing w:beforeLines="50" w:before="156" w:line="360" w:lineRule="auto"/>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w:t>
      </w:r>
      <w:r w:rsidR="00AB3C9C" w:rsidRPr="0054267F">
        <w:rPr>
          <w:rFonts w:eastAsia="仿宋_GB2312"/>
          <w:sz w:val="28"/>
          <w:szCs w:val="28"/>
        </w:rPr>
        <w:t>当发生巨额赎回时，养老金产品转出与养老金产品赎回具有</w:t>
      </w:r>
      <w:r w:rsidR="00AB3C9C" w:rsidRPr="0054267F">
        <w:rPr>
          <w:rFonts w:eastAsia="仿宋_GB2312"/>
          <w:sz w:val="28"/>
          <w:szCs w:val="28"/>
        </w:rPr>
        <w:lastRenderedPageBreak/>
        <w:t>相同的优先级，投资管理人可根据养老金产品（</w:t>
      </w:r>
      <w:r w:rsidR="00AB3C9C" w:rsidRPr="0054267F">
        <w:rPr>
          <w:rFonts w:eastAsia="仿宋_GB2312"/>
          <w:color w:val="000000"/>
          <w:sz w:val="28"/>
          <w:szCs w:val="28"/>
        </w:rPr>
        <w:t>各</w:t>
      </w:r>
      <w:r w:rsidR="00AB3C9C" w:rsidRPr="0054267F">
        <w:rPr>
          <w:rFonts w:eastAsia="仿宋_GB2312"/>
          <w:sz w:val="28"/>
          <w:szCs w:val="28"/>
        </w:rPr>
        <w:t>分期账户，如有）资产组合情况，决定全额转出或部分转出，并且对于养老金产品转出和养老金产品赎回，将采取相同的比例确认；在转出申请得到部分确认的情况下，未确认的转出申请将不予以顺延。</w:t>
      </w:r>
    </w:p>
    <w:p w:rsidR="00042148" w:rsidRPr="00042148" w:rsidRDefault="00042148" w:rsidP="00042148">
      <w:pPr>
        <w:tabs>
          <w:tab w:val="left" w:pos="1260"/>
        </w:tabs>
        <w:spacing w:beforeLines="50" w:before="156" w:line="360" w:lineRule="auto"/>
        <w:ind w:firstLineChars="200" w:firstLine="560"/>
        <w:rPr>
          <w:rFonts w:ascii="Verdana" w:hAnsi="Verdana" w:cs="宋体"/>
          <w:kern w:val="0"/>
          <w:sz w:val="18"/>
          <w:szCs w:val="18"/>
        </w:rPr>
      </w:pPr>
      <w:r>
        <w:rPr>
          <w:rFonts w:eastAsia="仿宋_GB2312" w:hint="eastAsia"/>
          <w:sz w:val="28"/>
          <w:szCs w:val="28"/>
        </w:rPr>
        <w:t>6</w:t>
      </w:r>
      <w:r>
        <w:rPr>
          <w:rFonts w:eastAsia="仿宋_GB2312" w:hint="eastAsia"/>
          <w:sz w:val="28"/>
          <w:szCs w:val="28"/>
        </w:rPr>
        <w:t>、养老金产品转换业务仅限于本公司发起设立且担任养老金产品注册登记人的业务。</w:t>
      </w:r>
    </w:p>
    <w:p w:rsidR="00AB3C9C" w:rsidRPr="00AB3C9C" w:rsidRDefault="00042148" w:rsidP="00042148">
      <w:pPr>
        <w:tabs>
          <w:tab w:val="left" w:pos="1260"/>
        </w:tabs>
        <w:spacing w:beforeLines="50" w:before="156" w:line="360" w:lineRule="auto"/>
        <w:ind w:firstLineChars="200" w:firstLine="560"/>
        <w:rPr>
          <w:rFonts w:eastAsia="仿宋_GB2312"/>
          <w:sz w:val="28"/>
          <w:szCs w:val="28"/>
        </w:rPr>
      </w:pPr>
      <w:r>
        <w:rPr>
          <w:rFonts w:eastAsia="仿宋_GB2312" w:hint="eastAsia"/>
          <w:sz w:val="28"/>
          <w:szCs w:val="28"/>
        </w:rPr>
        <w:t>7</w:t>
      </w:r>
      <w:r>
        <w:rPr>
          <w:rFonts w:eastAsia="仿宋_GB2312" w:hint="eastAsia"/>
          <w:sz w:val="28"/>
          <w:szCs w:val="28"/>
        </w:rPr>
        <w:t>、</w:t>
      </w:r>
      <w:r w:rsidR="00AB3C9C" w:rsidRPr="00AB3C9C">
        <w:rPr>
          <w:rFonts w:eastAsia="仿宋_GB2312" w:hint="eastAsia"/>
          <w:sz w:val="28"/>
          <w:szCs w:val="28"/>
        </w:rPr>
        <w:t>本业务的解释权归本公司。</w:t>
      </w:r>
      <w:r w:rsidRPr="00042148">
        <w:rPr>
          <w:rFonts w:eastAsia="仿宋_GB2312" w:hint="eastAsia"/>
          <w:sz w:val="28"/>
          <w:szCs w:val="28"/>
        </w:rPr>
        <w:t>由于</w:t>
      </w:r>
      <w:r w:rsidRPr="00AB3C9C">
        <w:rPr>
          <w:rFonts w:eastAsia="仿宋_GB2312" w:hint="eastAsia"/>
          <w:sz w:val="28"/>
          <w:szCs w:val="28"/>
        </w:rPr>
        <w:t>系统及业务安排等原因，可能开展该业务的时间有所不同，投资者应以具体公告的时间为准。</w:t>
      </w:r>
      <w:r w:rsidR="00AB3C9C" w:rsidRPr="00042148">
        <w:rPr>
          <w:rFonts w:eastAsia="仿宋_GB2312" w:hint="eastAsia"/>
          <w:sz w:val="28"/>
          <w:szCs w:val="28"/>
        </w:rPr>
        <w:t>有关养老金产品转换规则</w:t>
      </w:r>
      <w:r w:rsidR="00AB3C9C" w:rsidRPr="00AB3C9C">
        <w:rPr>
          <w:rFonts w:eastAsia="仿宋_GB2312" w:hint="eastAsia"/>
          <w:sz w:val="28"/>
          <w:szCs w:val="28"/>
        </w:rPr>
        <w:t>的详细</w:t>
      </w:r>
      <w:proofErr w:type="gramStart"/>
      <w:r w:rsidR="00AB3C9C" w:rsidRPr="00AB3C9C">
        <w:rPr>
          <w:rFonts w:eastAsia="仿宋_GB2312" w:hint="eastAsia"/>
          <w:sz w:val="28"/>
          <w:szCs w:val="28"/>
        </w:rPr>
        <w:t>情况请登拨打</w:t>
      </w:r>
      <w:proofErr w:type="gramEnd"/>
      <w:r w:rsidR="00AB3C9C" w:rsidRPr="00AB3C9C">
        <w:rPr>
          <w:rFonts w:eastAsia="仿宋_GB2312" w:hint="eastAsia"/>
          <w:sz w:val="28"/>
          <w:szCs w:val="28"/>
        </w:rPr>
        <w:t>本公司的热线电话查询</w:t>
      </w:r>
      <w:r w:rsidR="001C671E">
        <w:rPr>
          <w:rFonts w:eastAsia="仿宋_GB2312" w:hint="eastAsia"/>
          <w:sz w:val="28"/>
          <w:szCs w:val="28"/>
        </w:rPr>
        <w:t>400-820-9966</w:t>
      </w:r>
      <w:r w:rsidR="00AB3C9C" w:rsidRPr="00AB3C9C">
        <w:rPr>
          <w:rFonts w:eastAsia="仿宋_GB2312" w:hint="eastAsia"/>
          <w:sz w:val="28"/>
          <w:szCs w:val="28"/>
        </w:rPr>
        <w:t>。</w:t>
      </w:r>
    </w:p>
    <w:p w:rsidR="00AB3C9C" w:rsidRPr="00AB3C9C" w:rsidRDefault="00AB3C9C" w:rsidP="00AB3C9C">
      <w:pPr>
        <w:widowControl/>
        <w:jc w:val="center"/>
        <w:rPr>
          <w:rFonts w:ascii="Verdana" w:hAnsi="Verdana" w:cs="宋体"/>
          <w:kern w:val="0"/>
          <w:sz w:val="18"/>
          <w:szCs w:val="18"/>
        </w:rPr>
      </w:pPr>
    </w:p>
    <w:p w:rsidR="00AB3C9C" w:rsidRPr="00AB3C9C" w:rsidRDefault="00042148" w:rsidP="00AB3C9C">
      <w:pPr>
        <w:widowControl/>
        <w:spacing w:before="100" w:beforeAutospacing="1" w:after="100" w:afterAutospacing="1" w:line="360" w:lineRule="auto"/>
        <w:ind w:left="420"/>
        <w:jc w:val="center"/>
        <w:rPr>
          <w:rFonts w:eastAsia="仿宋_GB2312"/>
          <w:sz w:val="28"/>
          <w:szCs w:val="28"/>
        </w:rPr>
      </w:pPr>
      <w:r>
        <w:rPr>
          <w:rFonts w:eastAsia="仿宋_GB2312" w:hint="eastAsia"/>
          <w:sz w:val="28"/>
          <w:szCs w:val="28"/>
        </w:rPr>
        <w:t xml:space="preserve">                                           </w:t>
      </w:r>
      <w:r w:rsidR="00AB3C9C" w:rsidRPr="00AB3C9C">
        <w:rPr>
          <w:rFonts w:eastAsia="仿宋_GB2312" w:hint="eastAsia"/>
          <w:sz w:val="28"/>
          <w:szCs w:val="28"/>
        </w:rPr>
        <w:t>特此公告。</w:t>
      </w:r>
    </w:p>
    <w:p w:rsidR="00AB3C9C" w:rsidRPr="00AB3C9C" w:rsidRDefault="00AB3C9C" w:rsidP="00AB3C9C">
      <w:pPr>
        <w:widowControl/>
        <w:jc w:val="right"/>
        <w:rPr>
          <w:rFonts w:eastAsia="仿宋_GB2312"/>
          <w:sz w:val="28"/>
          <w:szCs w:val="28"/>
        </w:rPr>
      </w:pPr>
      <w:r w:rsidRPr="00042148">
        <w:rPr>
          <w:rFonts w:eastAsia="仿宋_GB2312" w:hint="eastAsia"/>
          <w:sz w:val="28"/>
          <w:szCs w:val="28"/>
        </w:rPr>
        <w:t>长江养老保险股份有限公司</w:t>
      </w:r>
    </w:p>
    <w:p w:rsidR="00820DD8" w:rsidRPr="00042148" w:rsidRDefault="00AB3C9C" w:rsidP="00E3125F">
      <w:pPr>
        <w:wordWrap w:val="0"/>
        <w:jc w:val="right"/>
        <w:rPr>
          <w:rFonts w:eastAsia="仿宋_GB2312"/>
          <w:sz w:val="28"/>
          <w:szCs w:val="28"/>
        </w:rPr>
      </w:pPr>
      <w:r w:rsidRPr="00042148">
        <w:rPr>
          <w:rFonts w:eastAsia="仿宋_GB2312" w:hint="eastAsia"/>
          <w:sz w:val="28"/>
          <w:szCs w:val="28"/>
        </w:rPr>
        <w:t>2018</w:t>
      </w:r>
      <w:r w:rsidRPr="00042148">
        <w:rPr>
          <w:rFonts w:eastAsia="仿宋_GB2312" w:hint="eastAsia"/>
          <w:sz w:val="28"/>
          <w:szCs w:val="28"/>
        </w:rPr>
        <w:t>年</w:t>
      </w:r>
      <w:r w:rsidRPr="00042148">
        <w:rPr>
          <w:rFonts w:eastAsia="仿宋_GB2312" w:hint="eastAsia"/>
          <w:sz w:val="28"/>
          <w:szCs w:val="28"/>
        </w:rPr>
        <w:t>1</w:t>
      </w:r>
      <w:r w:rsidRPr="00042148">
        <w:rPr>
          <w:rFonts w:eastAsia="仿宋_GB2312" w:hint="eastAsia"/>
          <w:sz w:val="28"/>
          <w:szCs w:val="28"/>
        </w:rPr>
        <w:t>月</w:t>
      </w:r>
      <w:r w:rsidRPr="00042148">
        <w:rPr>
          <w:rFonts w:eastAsia="仿宋_GB2312" w:hint="eastAsia"/>
          <w:sz w:val="28"/>
          <w:szCs w:val="28"/>
        </w:rPr>
        <w:t>22</w:t>
      </w:r>
      <w:r w:rsidRPr="00042148">
        <w:rPr>
          <w:rFonts w:eastAsia="仿宋_GB2312" w:hint="eastAsia"/>
          <w:sz w:val="28"/>
          <w:szCs w:val="28"/>
        </w:rPr>
        <w:t>日</w:t>
      </w:r>
      <w:r w:rsidRPr="00042148">
        <w:rPr>
          <w:rFonts w:eastAsia="仿宋_GB2312" w:hint="eastAsia"/>
          <w:sz w:val="28"/>
          <w:szCs w:val="28"/>
        </w:rPr>
        <w:t xml:space="preserve"> </w:t>
      </w:r>
    </w:p>
    <w:sectPr w:rsidR="00820DD8" w:rsidRPr="00042148" w:rsidSect="00850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D2" w:rsidRDefault="00C669D2" w:rsidP="00820DD8">
      <w:r>
        <w:separator/>
      </w:r>
    </w:p>
  </w:endnote>
  <w:endnote w:type="continuationSeparator" w:id="0">
    <w:p w:rsidR="00C669D2" w:rsidRDefault="00C669D2" w:rsidP="008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D2" w:rsidRDefault="00C669D2" w:rsidP="00820DD8">
      <w:r>
        <w:separator/>
      </w:r>
    </w:p>
  </w:footnote>
  <w:footnote w:type="continuationSeparator" w:id="0">
    <w:p w:rsidR="00C669D2" w:rsidRDefault="00C669D2" w:rsidP="00820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84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0" w:hanging="420"/>
      </w:pPr>
      <w:rPr>
        <w:rFonts w:ascii="Wingdings" w:hAnsi="Wingdings" w:hint="default"/>
      </w:rPr>
    </w:lvl>
    <w:lvl w:ilvl="3">
      <w:start w:val="1"/>
      <w:numFmt w:val="bullet"/>
      <w:lvlText w:val=""/>
      <w:lvlJc w:val="left"/>
      <w:pPr>
        <w:ind w:left="420" w:hanging="420"/>
      </w:pPr>
      <w:rPr>
        <w:rFonts w:ascii="Wingdings" w:hAnsi="Wingdings" w:hint="default"/>
      </w:rPr>
    </w:lvl>
    <w:lvl w:ilvl="4">
      <w:start w:val="1"/>
      <w:numFmt w:val="bullet"/>
      <w:lvlText w:val=""/>
      <w:lvlJc w:val="left"/>
      <w:pPr>
        <w:ind w:left="840" w:hanging="420"/>
      </w:pPr>
      <w:rPr>
        <w:rFonts w:ascii="Wingdings" w:hAnsi="Wingdings" w:hint="default"/>
      </w:rPr>
    </w:lvl>
    <w:lvl w:ilvl="5">
      <w:start w:val="1"/>
      <w:numFmt w:val="bullet"/>
      <w:lvlText w:val=""/>
      <w:lvlJc w:val="left"/>
      <w:pPr>
        <w:ind w:left="1260" w:hanging="420"/>
      </w:pPr>
      <w:rPr>
        <w:rFonts w:ascii="Wingdings" w:hAnsi="Wingdings" w:hint="default"/>
      </w:rPr>
    </w:lvl>
    <w:lvl w:ilvl="6">
      <w:start w:val="1"/>
      <w:numFmt w:val="bullet"/>
      <w:lvlText w:val=""/>
      <w:lvlJc w:val="left"/>
      <w:pPr>
        <w:ind w:left="1680" w:hanging="420"/>
      </w:pPr>
      <w:rPr>
        <w:rFonts w:ascii="Wingdings" w:hAnsi="Wingdings" w:hint="default"/>
      </w:rPr>
    </w:lvl>
    <w:lvl w:ilvl="7">
      <w:start w:val="1"/>
      <w:numFmt w:val="bullet"/>
      <w:lvlText w:val=""/>
      <w:lvlJc w:val="left"/>
      <w:pPr>
        <w:ind w:left="2100" w:hanging="420"/>
      </w:pPr>
      <w:rPr>
        <w:rFonts w:ascii="Wingdings" w:hAnsi="Wingdings" w:hint="default"/>
      </w:rPr>
    </w:lvl>
    <w:lvl w:ilvl="8">
      <w:start w:val="1"/>
      <w:numFmt w:val="bullet"/>
      <w:lvlText w:val=""/>
      <w:lvlJc w:val="left"/>
      <w:pPr>
        <w:ind w:left="2520" w:hanging="420"/>
      </w:pPr>
      <w:rPr>
        <w:rFonts w:ascii="Wingdings" w:hAnsi="Wingdings" w:hint="default"/>
      </w:rPr>
    </w:lvl>
  </w:abstractNum>
  <w:abstractNum w:abstractNumId="1">
    <w:nsid w:val="01DF6903"/>
    <w:multiLevelType w:val="hybridMultilevel"/>
    <w:tmpl w:val="B0645C5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492256"/>
    <w:multiLevelType w:val="hybridMultilevel"/>
    <w:tmpl w:val="ED8A8F42"/>
    <w:lvl w:ilvl="0" w:tplc="04090003">
      <w:start w:val="1"/>
      <w:numFmt w:val="bullet"/>
      <w:lvlText w:val=""/>
      <w:lvlJc w:val="left"/>
      <w:pPr>
        <w:ind w:left="921" w:hanging="420"/>
      </w:pPr>
      <w:rPr>
        <w:rFonts w:ascii="Wingdings" w:hAnsi="Wingdings" w:hint="default"/>
      </w:rPr>
    </w:lvl>
    <w:lvl w:ilvl="1" w:tplc="04090003" w:tentative="1">
      <w:start w:val="1"/>
      <w:numFmt w:val="bullet"/>
      <w:lvlText w:val=""/>
      <w:lvlJc w:val="left"/>
      <w:pPr>
        <w:ind w:left="1341" w:hanging="420"/>
      </w:pPr>
      <w:rPr>
        <w:rFonts w:ascii="Wingdings" w:hAnsi="Wingdings" w:hint="default"/>
      </w:rPr>
    </w:lvl>
    <w:lvl w:ilvl="2" w:tplc="04090005"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3" w:tentative="1">
      <w:start w:val="1"/>
      <w:numFmt w:val="bullet"/>
      <w:lvlText w:val=""/>
      <w:lvlJc w:val="left"/>
      <w:pPr>
        <w:ind w:left="2601" w:hanging="420"/>
      </w:pPr>
      <w:rPr>
        <w:rFonts w:ascii="Wingdings" w:hAnsi="Wingdings" w:hint="default"/>
      </w:rPr>
    </w:lvl>
    <w:lvl w:ilvl="5" w:tplc="04090005"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3" w:tentative="1">
      <w:start w:val="1"/>
      <w:numFmt w:val="bullet"/>
      <w:lvlText w:val=""/>
      <w:lvlJc w:val="left"/>
      <w:pPr>
        <w:ind w:left="3861" w:hanging="420"/>
      </w:pPr>
      <w:rPr>
        <w:rFonts w:ascii="Wingdings" w:hAnsi="Wingdings" w:hint="default"/>
      </w:rPr>
    </w:lvl>
    <w:lvl w:ilvl="8" w:tplc="04090005" w:tentative="1">
      <w:start w:val="1"/>
      <w:numFmt w:val="bullet"/>
      <w:lvlText w:val=""/>
      <w:lvlJc w:val="left"/>
      <w:pPr>
        <w:ind w:left="4281" w:hanging="420"/>
      </w:pPr>
      <w:rPr>
        <w:rFonts w:ascii="Wingdings" w:hAnsi="Wingdings" w:hint="default"/>
      </w:rPr>
    </w:lvl>
  </w:abstractNum>
  <w:abstractNum w:abstractNumId="3">
    <w:nsid w:val="18C14E5A"/>
    <w:multiLevelType w:val="multilevel"/>
    <w:tmpl w:val="18C14E5A"/>
    <w:lvl w:ilvl="0">
      <w:start w:val="1"/>
      <w:numFmt w:val="chineseCountingThousand"/>
      <w:lvlText w:val="第%1条"/>
      <w:lvlJc w:val="left"/>
      <w:pPr>
        <w:tabs>
          <w:tab w:val="left" w:pos="1952"/>
        </w:tabs>
        <w:ind w:left="1952" w:hanging="1470"/>
      </w:pPr>
      <w:rPr>
        <w:rFonts w:ascii="宋体" w:hAnsi="宋体" w:hint="default"/>
        <w:b/>
        <w:lang w:val="en-US"/>
      </w:rPr>
    </w:lvl>
    <w:lvl w:ilvl="1">
      <w:start w:val="1"/>
      <w:numFmt w:val="decimal"/>
      <w:lvlText w:val="%2．"/>
      <w:lvlJc w:val="left"/>
      <w:pPr>
        <w:tabs>
          <w:tab w:val="left" w:pos="1262"/>
        </w:tabs>
        <w:ind w:left="1262" w:hanging="360"/>
      </w:pPr>
      <w:rPr>
        <w:rFonts w:hint="default"/>
      </w:rPr>
    </w:lvl>
    <w:lvl w:ilvl="2">
      <w:start w:val="1"/>
      <w:numFmt w:val="chineseCountingThousand"/>
      <w:lvlText w:val="(%3)"/>
      <w:lvlJc w:val="left"/>
      <w:pPr>
        <w:tabs>
          <w:tab w:val="left" w:pos="1742"/>
        </w:tabs>
        <w:ind w:left="1742" w:hanging="420"/>
      </w:pPr>
      <w:rPr>
        <w:rFonts w:hint="default"/>
      </w:r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abstractNum w:abstractNumId="4">
    <w:nsid w:val="300D2E58"/>
    <w:multiLevelType w:val="hybridMultilevel"/>
    <w:tmpl w:val="467096DC"/>
    <w:lvl w:ilvl="0" w:tplc="C11ABE9A">
      <w:start w:val="1"/>
      <w:numFmt w:val="bullet"/>
      <w:lvlText w:val=""/>
      <w:lvlJc w:val="left"/>
      <w:pPr>
        <w:ind w:left="780" w:hanging="42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4555907"/>
    <w:multiLevelType w:val="hybridMultilevel"/>
    <w:tmpl w:val="44A247F2"/>
    <w:lvl w:ilvl="0" w:tplc="C11ABE9A">
      <w:start w:val="1"/>
      <w:numFmt w:val="bullet"/>
      <w:lvlText w:val=""/>
      <w:lvlJc w:val="left"/>
      <w:pPr>
        <w:ind w:left="420" w:hanging="420"/>
      </w:pPr>
      <w:rPr>
        <w:rFonts w:ascii="Wingdings" w:hAnsi="Wingdings"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7C70020"/>
    <w:multiLevelType w:val="hybridMultilevel"/>
    <w:tmpl w:val="B478147E"/>
    <w:lvl w:ilvl="0" w:tplc="163C70C6">
      <w:start w:val="1"/>
      <w:numFmt w:val="bullet"/>
      <w:lvlText w:val=""/>
      <w:lvlJc w:val="left"/>
      <w:pPr>
        <w:ind w:left="598" w:hanging="420"/>
      </w:pPr>
      <w:rPr>
        <w:rFonts w:ascii="Wingdings" w:hAnsi="Wingdings" w:hint="default"/>
      </w:rPr>
    </w:lvl>
    <w:lvl w:ilvl="1" w:tplc="04090003" w:tentative="1">
      <w:start w:val="1"/>
      <w:numFmt w:val="bullet"/>
      <w:lvlText w:val=""/>
      <w:lvlJc w:val="left"/>
      <w:pPr>
        <w:ind w:left="1018" w:hanging="420"/>
      </w:pPr>
      <w:rPr>
        <w:rFonts w:ascii="Wingdings" w:hAnsi="Wingdings" w:hint="default"/>
      </w:rPr>
    </w:lvl>
    <w:lvl w:ilvl="2" w:tplc="04090005" w:tentative="1">
      <w:start w:val="1"/>
      <w:numFmt w:val="bullet"/>
      <w:lvlText w:val=""/>
      <w:lvlJc w:val="left"/>
      <w:pPr>
        <w:ind w:left="1438" w:hanging="420"/>
      </w:pPr>
      <w:rPr>
        <w:rFonts w:ascii="Wingdings" w:hAnsi="Wingdings" w:hint="default"/>
      </w:rPr>
    </w:lvl>
    <w:lvl w:ilvl="3" w:tplc="04090001" w:tentative="1">
      <w:start w:val="1"/>
      <w:numFmt w:val="bullet"/>
      <w:lvlText w:val=""/>
      <w:lvlJc w:val="left"/>
      <w:pPr>
        <w:ind w:left="1858" w:hanging="420"/>
      </w:pPr>
      <w:rPr>
        <w:rFonts w:ascii="Wingdings" w:hAnsi="Wingdings" w:hint="default"/>
      </w:rPr>
    </w:lvl>
    <w:lvl w:ilvl="4" w:tplc="04090003" w:tentative="1">
      <w:start w:val="1"/>
      <w:numFmt w:val="bullet"/>
      <w:lvlText w:val=""/>
      <w:lvlJc w:val="left"/>
      <w:pPr>
        <w:ind w:left="2278" w:hanging="420"/>
      </w:pPr>
      <w:rPr>
        <w:rFonts w:ascii="Wingdings" w:hAnsi="Wingdings" w:hint="default"/>
      </w:rPr>
    </w:lvl>
    <w:lvl w:ilvl="5" w:tplc="04090005" w:tentative="1">
      <w:start w:val="1"/>
      <w:numFmt w:val="bullet"/>
      <w:lvlText w:val=""/>
      <w:lvlJc w:val="left"/>
      <w:pPr>
        <w:ind w:left="2698" w:hanging="420"/>
      </w:pPr>
      <w:rPr>
        <w:rFonts w:ascii="Wingdings" w:hAnsi="Wingdings" w:hint="default"/>
      </w:rPr>
    </w:lvl>
    <w:lvl w:ilvl="6" w:tplc="04090001" w:tentative="1">
      <w:start w:val="1"/>
      <w:numFmt w:val="bullet"/>
      <w:lvlText w:val=""/>
      <w:lvlJc w:val="left"/>
      <w:pPr>
        <w:ind w:left="3118" w:hanging="420"/>
      </w:pPr>
      <w:rPr>
        <w:rFonts w:ascii="Wingdings" w:hAnsi="Wingdings" w:hint="default"/>
      </w:rPr>
    </w:lvl>
    <w:lvl w:ilvl="7" w:tplc="04090003" w:tentative="1">
      <w:start w:val="1"/>
      <w:numFmt w:val="bullet"/>
      <w:lvlText w:val=""/>
      <w:lvlJc w:val="left"/>
      <w:pPr>
        <w:ind w:left="3538" w:hanging="420"/>
      </w:pPr>
      <w:rPr>
        <w:rFonts w:ascii="Wingdings" w:hAnsi="Wingdings" w:hint="default"/>
      </w:rPr>
    </w:lvl>
    <w:lvl w:ilvl="8" w:tplc="04090005" w:tentative="1">
      <w:start w:val="1"/>
      <w:numFmt w:val="bullet"/>
      <w:lvlText w:val=""/>
      <w:lvlJc w:val="left"/>
      <w:pPr>
        <w:ind w:left="3958" w:hanging="420"/>
      </w:pPr>
      <w:rPr>
        <w:rFonts w:ascii="Wingdings" w:hAnsi="Wingdings" w:hint="default"/>
      </w:rPr>
    </w:lvl>
  </w:abstractNum>
  <w:abstractNum w:abstractNumId="7">
    <w:nsid w:val="74ED72B0"/>
    <w:multiLevelType w:val="hybridMultilevel"/>
    <w:tmpl w:val="57386246"/>
    <w:lvl w:ilvl="0" w:tplc="37C83B04">
      <w:start w:val="3"/>
      <w:numFmt w:val="decimal"/>
      <w:lvlText w:val="%1、"/>
      <w:lvlJc w:val="left"/>
      <w:pPr>
        <w:ind w:left="1200" w:hanging="7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0DD8"/>
    <w:rsid w:val="00012F35"/>
    <w:rsid w:val="00042148"/>
    <w:rsid w:val="00062884"/>
    <w:rsid w:val="00080B61"/>
    <w:rsid w:val="000B6599"/>
    <w:rsid w:val="000C6B9B"/>
    <w:rsid w:val="000F50C4"/>
    <w:rsid w:val="00114EF2"/>
    <w:rsid w:val="00165E46"/>
    <w:rsid w:val="001C671E"/>
    <w:rsid w:val="0020682E"/>
    <w:rsid w:val="002478AE"/>
    <w:rsid w:val="002C1CD8"/>
    <w:rsid w:val="002D47C6"/>
    <w:rsid w:val="003038D2"/>
    <w:rsid w:val="00320B0F"/>
    <w:rsid w:val="00332BF4"/>
    <w:rsid w:val="00352781"/>
    <w:rsid w:val="00396345"/>
    <w:rsid w:val="003D6131"/>
    <w:rsid w:val="0042066B"/>
    <w:rsid w:val="00423D45"/>
    <w:rsid w:val="00471F49"/>
    <w:rsid w:val="004876B5"/>
    <w:rsid w:val="00491841"/>
    <w:rsid w:val="004B7C30"/>
    <w:rsid w:val="004C3751"/>
    <w:rsid w:val="004D54B6"/>
    <w:rsid w:val="004F442B"/>
    <w:rsid w:val="0051254D"/>
    <w:rsid w:val="00531F19"/>
    <w:rsid w:val="005E1708"/>
    <w:rsid w:val="006655C8"/>
    <w:rsid w:val="006A7FF5"/>
    <w:rsid w:val="006D754D"/>
    <w:rsid w:val="007626A7"/>
    <w:rsid w:val="007837F7"/>
    <w:rsid w:val="00783D44"/>
    <w:rsid w:val="007A4E1F"/>
    <w:rsid w:val="007A714E"/>
    <w:rsid w:val="007B03D0"/>
    <w:rsid w:val="007C648D"/>
    <w:rsid w:val="007E5110"/>
    <w:rsid w:val="00804381"/>
    <w:rsid w:val="00820DD8"/>
    <w:rsid w:val="00850E64"/>
    <w:rsid w:val="00880166"/>
    <w:rsid w:val="008875A7"/>
    <w:rsid w:val="008A0878"/>
    <w:rsid w:val="008C337C"/>
    <w:rsid w:val="008D0278"/>
    <w:rsid w:val="008E07E3"/>
    <w:rsid w:val="009422AA"/>
    <w:rsid w:val="009570D9"/>
    <w:rsid w:val="00963671"/>
    <w:rsid w:val="00990618"/>
    <w:rsid w:val="00990DF6"/>
    <w:rsid w:val="009B344E"/>
    <w:rsid w:val="009E2FCB"/>
    <w:rsid w:val="00A045E6"/>
    <w:rsid w:val="00AB3C9C"/>
    <w:rsid w:val="00B0294A"/>
    <w:rsid w:val="00B26311"/>
    <w:rsid w:val="00B554D1"/>
    <w:rsid w:val="00BF341C"/>
    <w:rsid w:val="00C40246"/>
    <w:rsid w:val="00C56808"/>
    <w:rsid w:val="00C638BA"/>
    <w:rsid w:val="00C669D2"/>
    <w:rsid w:val="00CB1FE6"/>
    <w:rsid w:val="00D00B8F"/>
    <w:rsid w:val="00D01696"/>
    <w:rsid w:val="00D934D9"/>
    <w:rsid w:val="00E058A7"/>
    <w:rsid w:val="00E14BA9"/>
    <w:rsid w:val="00E3125F"/>
    <w:rsid w:val="00EB7E3A"/>
    <w:rsid w:val="00EE3CF8"/>
    <w:rsid w:val="00F8223D"/>
    <w:rsid w:val="00F92E77"/>
    <w:rsid w:val="00FE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E64"/>
    <w:pPr>
      <w:widowControl w:val="0"/>
      <w:jc w:val="both"/>
    </w:pPr>
    <w:rPr>
      <w:kern w:val="2"/>
      <w:sz w:val="21"/>
      <w:szCs w:val="22"/>
    </w:rPr>
  </w:style>
  <w:style w:type="paragraph" w:styleId="1">
    <w:name w:val="heading 1"/>
    <w:basedOn w:val="a"/>
    <w:link w:val="1Char"/>
    <w:uiPriority w:val="9"/>
    <w:qFormat/>
    <w:rsid w:val="00AB3C9C"/>
    <w:pPr>
      <w:widowControl/>
      <w:spacing w:before="100" w:beforeAutospacing="1" w:after="100" w:afterAutospacing="1"/>
      <w:jc w:val="left"/>
      <w:outlineLvl w:val="0"/>
    </w:pPr>
    <w:rPr>
      <w:rFonts w:ascii="宋体" w:hAnsi="宋体" w:cs="宋体"/>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D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DD8"/>
    <w:rPr>
      <w:sz w:val="18"/>
      <w:szCs w:val="18"/>
    </w:rPr>
  </w:style>
  <w:style w:type="paragraph" w:styleId="a4">
    <w:name w:val="footer"/>
    <w:basedOn w:val="a"/>
    <w:link w:val="Char0"/>
    <w:uiPriority w:val="99"/>
    <w:unhideWhenUsed/>
    <w:rsid w:val="00820DD8"/>
    <w:pPr>
      <w:tabs>
        <w:tab w:val="center" w:pos="4153"/>
        <w:tab w:val="right" w:pos="8306"/>
      </w:tabs>
      <w:snapToGrid w:val="0"/>
      <w:jc w:val="left"/>
    </w:pPr>
    <w:rPr>
      <w:sz w:val="18"/>
      <w:szCs w:val="18"/>
    </w:rPr>
  </w:style>
  <w:style w:type="character" w:customStyle="1" w:styleId="Char0">
    <w:name w:val="页脚 Char"/>
    <w:basedOn w:val="a0"/>
    <w:link w:val="a4"/>
    <w:uiPriority w:val="99"/>
    <w:rsid w:val="00820DD8"/>
    <w:rPr>
      <w:sz w:val="18"/>
      <w:szCs w:val="18"/>
    </w:rPr>
  </w:style>
  <w:style w:type="paragraph" w:styleId="a5">
    <w:name w:val="Normal (Web)"/>
    <w:basedOn w:val="a"/>
    <w:uiPriority w:val="99"/>
    <w:unhideWhenUsed/>
    <w:rsid w:val="00820DD8"/>
    <w:pPr>
      <w:widowControl/>
      <w:spacing w:before="100" w:beforeAutospacing="1" w:after="100" w:afterAutospacing="1"/>
      <w:jc w:val="left"/>
    </w:pPr>
    <w:rPr>
      <w:rFonts w:ascii="宋体" w:hAnsi="宋体" w:cs="宋体"/>
      <w:kern w:val="0"/>
      <w:sz w:val="24"/>
      <w:szCs w:val="24"/>
    </w:rPr>
  </w:style>
  <w:style w:type="character" w:customStyle="1" w:styleId="huise1">
    <w:name w:val="huise1"/>
    <w:basedOn w:val="a0"/>
    <w:rsid w:val="00820DD8"/>
    <w:rPr>
      <w:rFonts w:ascii="Arial" w:hAnsi="Arial" w:cs="Arial" w:hint="default"/>
      <w:b w:val="0"/>
      <w:bCs w:val="0"/>
      <w:strike w:val="0"/>
      <w:dstrike w:val="0"/>
      <w:color w:val="747474"/>
      <w:sz w:val="18"/>
      <w:szCs w:val="18"/>
      <w:u w:val="none"/>
      <w:effect w:val="none"/>
    </w:rPr>
  </w:style>
  <w:style w:type="character" w:customStyle="1" w:styleId="txtcontent11">
    <w:name w:val="txtcontent11"/>
    <w:basedOn w:val="a0"/>
    <w:rsid w:val="00820DD8"/>
    <w:rPr>
      <w:rFonts w:ascii="ˎ̥" w:hAnsi="ˎ̥" w:hint="default"/>
      <w:b w:val="0"/>
      <w:bCs w:val="0"/>
      <w:color w:val="000000"/>
      <w:sz w:val="21"/>
      <w:szCs w:val="21"/>
    </w:rPr>
  </w:style>
  <w:style w:type="paragraph" w:styleId="a6">
    <w:name w:val="Balloon Text"/>
    <w:basedOn w:val="a"/>
    <w:link w:val="Char1"/>
    <w:uiPriority w:val="99"/>
    <w:semiHidden/>
    <w:unhideWhenUsed/>
    <w:rsid w:val="00C56808"/>
    <w:rPr>
      <w:sz w:val="18"/>
      <w:szCs w:val="18"/>
    </w:rPr>
  </w:style>
  <w:style w:type="character" w:customStyle="1" w:styleId="Char1">
    <w:name w:val="批注框文本 Char"/>
    <w:basedOn w:val="a0"/>
    <w:link w:val="a6"/>
    <w:uiPriority w:val="99"/>
    <w:semiHidden/>
    <w:rsid w:val="00C56808"/>
    <w:rPr>
      <w:sz w:val="18"/>
      <w:szCs w:val="18"/>
    </w:rPr>
  </w:style>
  <w:style w:type="paragraph" w:customStyle="1" w:styleId="Default">
    <w:name w:val="Default"/>
    <w:rsid w:val="00EB7E3A"/>
    <w:pPr>
      <w:widowControl w:val="0"/>
      <w:autoSpaceDE w:val="0"/>
      <w:autoSpaceDN w:val="0"/>
      <w:adjustRightInd w:val="0"/>
    </w:pPr>
    <w:rPr>
      <w:rFonts w:ascii="仿宋" w:eastAsia="仿宋" w:cs="仿宋"/>
      <w:color w:val="000000"/>
      <w:sz w:val="24"/>
      <w:szCs w:val="24"/>
    </w:rPr>
  </w:style>
  <w:style w:type="paragraph" w:customStyle="1" w:styleId="10">
    <w:name w:val="列出段落1"/>
    <w:basedOn w:val="a"/>
    <w:rsid w:val="005E1708"/>
    <w:pPr>
      <w:widowControl/>
      <w:ind w:firstLine="420"/>
    </w:pPr>
    <w:rPr>
      <w:rFonts w:ascii="Times New Roman" w:hAnsi="Times New Roman"/>
      <w:kern w:val="0"/>
      <w:szCs w:val="21"/>
    </w:rPr>
  </w:style>
  <w:style w:type="paragraph" w:styleId="a7">
    <w:name w:val="List Paragraph"/>
    <w:basedOn w:val="a"/>
    <w:uiPriority w:val="34"/>
    <w:qFormat/>
    <w:rsid w:val="005E1708"/>
    <w:pPr>
      <w:ind w:firstLineChars="200" w:firstLine="420"/>
    </w:pPr>
    <w:rPr>
      <w:rFonts w:ascii="Times New Roman" w:hAnsi="Times New Roman"/>
      <w:szCs w:val="24"/>
    </w:rPr>
  </w:style>
  <w:style w:type="character" w:customStyle="1" w:styleId="1Char">
    <w:name w:val="标题 1 Char"/>
    <w:basedOn w:val="a0"/>
    <w:link w:val="1"/>
    <w:uiPriority w:val="9"/>
    <w:rsid w:val="00AB3C9C"/>
    <w:rPr>
      <w:rFonts w:ascii="宋体" w:hAnsi="宋体" w:cs="宋体"/>
      <w:kern w:val="36"/>
      <w:sz w:val="18"/>
      <w:szCs w:val="18"/>
    </w:rPr>
  </w:style>
  <w:style w:type="character" w:styleId="a8">
    <w:name w:val="Hyperlink"/>
    <w:basedOn w:val="a0"/>
    <w:uiPriority w:val="99"/>
    <w:semiHidden/>
    <w:unhideWhenUsed/>
    <w:rsid w:val="00AB3C9C"/>
    <w:rPr>
      <w:strike w:val="0"/>
      <w:dstrike w:val="0"/>
      <w:color w:val="333333"/>
      <w:u w:val="none"/>
      <w:effect w:val="none"/>
    </w:rPr>
  </w:style>
  <w:style w:type="paragraph" w:styleId="a9">
    <w:name w:val="Normal Indent"/>
    <w:basedOn w:val="a"/>
    <w:uiPriority w:val="99"/>
    <w:semiHidden/>
    <w:unhideWhenUsed/>
    <w:rsid w:val="00AB3C9C"/>
    <w:pPr>
      <w:widowControl/>
      <w:spacing w:before="100" w:beforeAutospacing="1" w:after="100" w:afterAutospacing="1"/>
      <w:jc w:val="left"/>
    </w:pPr>
    <w:rPr>
      <w:rFonts w:ascii="宋体" w:hAnsi="宋体" w:cs="宋体"/>
      <w:kern w:val="0"/>
      <w:sz w:val="24"/>
      <w:szCs w:val="24"/>
    </w:rPr>
  </w:style>
  <w:style w:type="paragraph" w:styleId="2">
    <w:name w:val="Body Text 2"/>
    <w:basedOn w:val="a"/>
    <w:link w:val="2Char"/>
    <w:uiPriority w:val="99"/>
    <w:unhideWhenUsed/>
    <w:rsid w:val="00AB3C9C"/>
    <w:pPr>
      <w:widowControl/>
      <w:spacing w:before="100" w:beforeAutospacing="1" w:after="100" w:afterAutospacing="1"/>
      <w:jc w:val="left"/>
    </w:pPr>
    <w:rPr>
      <w:rFonts w:ascii="宋体" w:hAnsi="宋体" w:cs="宋体"/>
      <w:kern w:val="0"/>
      <w:sz w:val="24"/>
      <w:szCs w:val="24"/>
    </w:rPr>
  </w:style>
  <w:style w:type="character" w:customStyle="1" w:styleId="2Char">
    <w:name w:val="正文文本 2 Char"/>
    <w:basedOn w:val="a0"/>
    <w:link w:val="2"/>
    <w:uiPriority w:val="99"/>
    <w:rsid w:val="00AB3C9C"/>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3450">
      <w:bodyDiv w:val="1"/>
      <w:marLeft w:val="0"/>
      <w:marRight w:val="0"/>
      <w:marTop w:val="0"/>
      <w:marBottom w:val="0"/>
      <w:divBdr>
        <w:top w:val="none" w:sz="0" w:space="0" w:color="auto"/>
        <w:left w:val="none" w:sz="0" w:space="0" w:color="auto"/>
        <w:bottom w:val="none" w:sz="0" w:space="0" w:color="auto"/>
        <w:right w:val="none" w:sz="0" w:space="0" w:color="auto"/>
      </w:divBdr>
      <w:divsChild>
        <w:div w:id="138353082">
          <w:marLeft w:val="450"/>
          <w:marRight w:val="450"/>
          <w:marTop w:val="150"/>
          <w:marBottom w:val="150"/>
          <w:divBdr>
            <w:top w:val="none" w:sz="0" w:space="0" w:color="auto"/>
            <w:left w:val="none" w:sz="0" w:space="0" w:color="auto"/>
            <w:bottom w:val="none" w:sz="0" w:space="0" w:color="auto"/>
            <w:right w:val="none" w:sz="0" w:space="0" w:color="auto"/>
          </w:divBdr>
          <w:divsChild>
            <w:div w:id="1901919">
              <w:marLeft w:val="0"/>
              <w:marRight w:val="0"/>
              <w:marTop w:val="0"/>
              <w:marBottom w:val="0"/>
              <w:divBdr>
                <w:top w:val="none" w:sz="0" w:space="0" w:color="auto"/>
                <w:left w:val="none" w:sz="0" w:space="0" w:color="auto"/>
                <w:bottom w:val="none" w:sz="0" w:space="0" w:color="auto"/>
                <w:right w:val="none" w:sz="0" w:space="0" w:color="auto"/>
              </w:divBdr>
              <w:divsChild>
                <w:div w:id="82993776">
                  <w:marLeft w:val="450"/>
                  <w:marRight w:val="450"/>
                  <w:marTop w:val="150"/>
                  <w:marBottom w:val="150"/>
                  <w:divBdr>
                    <w:top w:val="none" w:sz="0" w:space="0" w:color="auto"/>
                    <w:left w:val="none" w:sz="0" w:space="0" w:color="auto"/>
                    <w:bottom w:val="none" w:sz="0" w:space="0" w:color="auto"/>
                    <w:right w:val="none" w:sz="0" w:space="0" w:color="auto"/>
                  </w:divBdr>
                  <w:divsChild>
                    <w:div w:id="17923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8883">
      <w:bodyDiv w:val="1"/>
      <w:marLeft w:val="0"/>
      <w:marRight w:val="0"/>
      <w:marTop w:val="0"/>
      <w:marBottom w:val="0"/>
      <w:divBdr>
        <w:top w:val="none" w:sz="0" w:space="0" w:color="auto"/>
        <w:left w:val="none" w:sz="0" w:space="0" w:color="auto"/>
        <w:bottom w:val="none" w:sz="0" w:space="0" w:color="auto"/>
        <w:right w:val="none" w:sz="0" w:space="0" w:color="auto"/>
      </w:divBdr>
    </w:div>
    <w:div w:id="531960822">
      <w:bodyDiv w:val="1"/>
      <w:marLeft w:val="0"/>
      <w:marRight w:val="0"/>
      <w:marTop w:val="0"/>
      <w:marBottom w:val="0"/>
      <w:divBdr>
        <w:top w:val="none" w:sz="0" w:space="0" w:color="auto"/>
        <w:left w:val="none" w:sz="0" w:space="0" w:color="auto"/>
        <w:bottom w:val="none" w:sz="0" w:space="0" w:color="auto"/>
        <w:right w:val="none" w:sz="0" w:space="0" w:color="auto"/>
      </w:divBdr>
      <w:divsChild>
        <w:div w:id="1239900828">
          <w:marLeft w:val="0"/>
          <w:marRight w:val="0"/>
          <w:marTop w:val="0"/>
          <w:marBottom w:val="0"/>
          <w:divBdr>
            <w:top w:val="none" w:sz="0" w:space="0" w:color="auto"/>
            <w:left w:val="none" w:sz="0" w:space="0" w:color="auto"/>
            <w:bottom w:val="none" w:sz="0" w:space="0" w:color="auto"/>
            <w:right w:val="none" w:sz="0" w:space="0" w:color="auto"/>
          </w:divBdr>
          <w:divsChild>
            <w:div w:id="122698431">
              <w:marLeft w:val="0"/>
              <w:marRight w:val="0"/>
              <w:marTop w:val="0"/>
              <w:marBottom w:val="0"/>
              <w:divBdr>
                <w:top w:val="none" w:sz="0" w:space="0" w:color="auto"/>
                <w:left w:val="none" w:sz="0" w:space="0" w:color="auto"/>
                <w:bottom w:val="none" w:sz="0" w:space="0" w:color="auto"/>
                <w:right w:val="none" w:sz="0" w:space="0" w:color="auto"/>
              </w:divBdr>
              <w:divsChild>
                <w:div w:id="1838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1728">
      <w:bodyDiv w:val="1"/>
      <w:marLeft w:val="0"/>
      <w:marRight w:val="0"/>
      <w:marTop w:val="0"/>
      <w:marBottom w:val="0"/>
      <w:divBdr>
        <w:top w:val="none" w:sz="0" w:space="0" w:color="auto"/>
        <w:left w:val="none" w:sz="0" w:space="0" w:color="auto"/>
        <w:bottom w:val="none" w:sz="0" w:space="0" w:color="auto"/>
        <w:right w:val="none" w:sz="0" w:space="0" w:color="auto"/>
      </w:divBdr>
    </w:div>
    <w:div w:id="21387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周颖</dc:creator>
  <cp:lastModifiedBy>梁莹</cp:lastModifiedBy>
  <cp:revision>4</cp:revision>
  <dcterms:created xsi:type="dcterms:W3CDTF">2016-03-15T07:00:00Z</dcterms:created>
  <dcterms:modified xsi:type="dcterms:W3CDTF">2018-02-02T02:00:00Z</dcterms:modified>
</cp:coreProperties>
</file>