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57" w:rsidRPr="003D5A93" w:rsidRDefault="00F1588F" w:rsidP="003D5A93">
      <w:pPr>
        <w:ind w:firstLineChars="500" w:firstLine="1205"/>
        <w:rPr>
          <w:rFonts w:eastAsia="仿宋_GB2312"/>
          <w:b/>
          <w:sz w:val="24"/>
        </w:rPr>
      </w:pPr>
      <w:r w:rsidRPr="00F1588F">
        <w:rPr>
          <w:rFonts w:eastAsia="仿宋_GB2312" w:hint="eastAsia"/>
          <w:b/>
          <w:sz w:val="24"/>
        </w:rPr>
        <w:t>长江金色稳赢</w:t>
      </w:r>
      <w:r w:rsidRPr="00F1588F">
        <w:rPr>
          <w:rFonts w:eastAsia="仿宋_GB2312" w:hint="eastAsia"/>
          <w:b/>
          <w:sz w:val="24"/>
        </w:rPr>
        <w:t>1</w:t>
      </w:r>
      <w:r w:rsidRPr="00F1588F">
        <w:rPr>
          <w:rFonts w:eastAsia="仿宋_GB2312" w:hint="eastAsia"/>
          <w:b/>
          <w:sz w:val="24"/>
        </w:rPr>
        <w:t>号分期存款型养老金产品</w:t>
      </w:r>
      <w:r w:rsidR="004925E0">
        <w:rPr>
          <w:rFonts w:eastAsia="仿宋_GB2312"/>
          <w:b/>
          <w:sz w:val="24"/>
        </w:rPr>
        <w:t>3</w:t>
      </w:r>
      <w:r w:rsidRPr="00F1588F">
        <w:rPr>
          <w:rFonts w:eastAsia="仿宋_GB2312" w:hint="eastAsia"/>
          <w:b/>
          <w:sz w:val="24"/>
        </w:rPr>
        <w:t>期</w:t>
      </w:r>
      <w:r w:rsidR="00D31557" w:rsidRPr="00D31557">
        <w:rPr>
          <w:rFonts w:eastAsia="仿宋_GB2312" w:hint="eastAsia"/>
          <w:b/>
          <w:sz w:val="24"/>
        </w:rPr>
        <w:t>发售公告</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5861"/>
      </w:tblGrid>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D31557" w:rsidRPr="00604BDF" w:rsidRDefault="00604BDF" w:rsidP="00BE0DC6">
            <w:pPr>
              <w:snapToGrid w:val="0"/>
              <w:rPr>
                <w:rFonts w:ascii="仿宋" w:eastAsia="仿宋" w:hAnsi="仿宋"/>
                <w:b/>
                <w:szCs w:val="21"/>
              </w:rPr>
            </w:pPr>
            <w:r>
              <w:rPr>
                <w:rFonts w:ascii="仿宋" w:eastAsia="仿宋" w:hAnsi="仿宋" w:hint="eastAsia"/>
                <w:b/>
                <w:szCs w:val="21"/>
              </w:rPr>
              <w:t>产品批复函号</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D31557" w:rsidRPr="00750FA1" w:rsidRDefault="002E7CD6" w:rsidP="00BE0DC6">
            <w:pPr>
              <w:snapToGrid w:val="0"/>
              <w:jc w:val="left"/>
              <w:rPr>
                <w:rFonts w:ascii="仿宋" w:eastAsia="仿宋" w:hAnsi="仿宋"/>
                <w:szCs w:val="21"/>
              </w:rPr>
            </w:pPr>
            <w:r w:rsidRPr="00750FA1">
              <w:rPr>
                <w:rFonts w:ascii="仿宋" w:eastAsia="仿宋" w:hAnsi="仿宋" w:hint="eastAsia"/>
                <w:szCs w:val="21"/>
              </w:rPr>
              <w:t>99PF20170514</w:t>
            </w:r>
          </w:p>
        </w:tc>
      </w:tr>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D31557" w:rsidRPr="00604BDF" w:rsidRDefault="00604BDF" w:rsidP="00BE0DC6">
            <w:pPr>
              <w:snapToGrid w:val="0"/>
              <w:rPr>
                <w:rFonts w:ascii="仿宋" w:eastAsia="仿宋" w:hAnsi="仿宋"/>
                <w:b/>
                <w:szCs w:val="21"/>
              </w:rPr>
            </w:pPr>
            <w:r>
              <w:rPr>
                <w:rFonts w:ascii="仿宋" w:eastAsia="仿宋" w:hAnsi="仿宋" w:hint="eastAsia"/>
                <w:b/>
                <w:szCs w:val="21"/>
              </w:rPr>
              <w:t>产品名称</w:t>
            </w:r>
          </w:p>
        </w:tc>
        <w:tc>
          <w:tcPr>
            <w:tcW w:w="3439" w:type="pct"/>
            <w:tcBorders>
              <w:top w:val="single" w:sz="4" w:space="0" w:color="000000"/>
              <w:left w:val="single" w:sz="4" w:space="0" w:color="000000"/>
              <w:bottom w:val="single" w:sz="4" w:space="0" w:color="000000"/>
              <w:right w:val="single" w:sz="4" w:space="0" w:color="000000"/>
            </w:tcBorders>
            <w:vAlign w:val="center"/>
          </w:tcPr>
          <w:p w:rsidR="00D31557" w:rsidRPr="00750FA1" w:rsidRDefault="00F1588F" w:rsidP="00BE0DC6">
            <w:pPr>
              <w:snapToGrid w:val="0"/>
              <w:rPr>
                <w:rFonts w:ascii="仿宋" w:eastAsia="仿宋" w:hAnsi="仿宋"/>
                <w:szCs w:val="21"/>
              </w:rPr>
            </w:pPr>
            <w:r w:rsidRPr="00750FA1">
              <w:rPr>
                <w:rFonts w:ascii="仿宋" w:eastAsia="仿宋" w:hAnsi="仿宋" w:hint="eastAsia"/>
                <w:szCs w:val="21"/>
              </w:rPr>
              <w:t>长江金色稳赢1号分期存款型养老金产品</w:t>
            </w:r>
            <w:r w:rsidR="00604BDF">
              <w:rPr>
                <w:rFonts w:ascii="仿宋" w:eastAsia="仿宋" w:hAnsi="仿宋" w:hint="eastAsia"/>
                <w:szCs w:val="21"/>
              </w:rPr>
              <w:t>3期</w:t>
            </w:r>
          </w:p>
        </w:tc>
      </w:tr>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tcPr>
          <w:p w:rsidR="00D31557" w:rsidRPr="00604BDF" w:rsidRDefault="00604BDF" w:rsidP="00BE0DC6">
            <w:pPr>
              <w:snapToGrid w:val="0"/>
              <w:rPr>
                <w:rFonts w:ascii="仿宋" w:eastAsia="仿宋" w:hAnsi="仿宋"/>
                <w:b/>
                <w:szCs w:val="21"/>
              </w:rPr>
            </w:pPr>
            <w:r>
              <w:rPr>
                <w:rFonts w:ascii="仿宋" w:eastAsia="仿宋" w:hAnsi="仿宋" w:hint="eastAsia"/>
                <w:b/>
                <w:szCs w:val="21"/>
              </w:rPr>
              <w:t>产品期次</w:t>
            </w:r>
          </w:p>
        </w:tc>
        <w:tc>
          <w:tcPr>
            <w:tcW w:w="3439" w:type="pct"/>
            <w:tcBorders>
              <w:top w:val="single" w:sz="4" w:space="0" w:color="000000"/>
              <w:left w:val="single" w:sz="4" w:space="0" w:color="000000"/>
              <w:bottom w:val="single" w:sz="4" w:space="0" w:color="000000"/>
              <w:right w:val="single" w:sz="4" w:space="0" w:color="000000"/>
            </w:tcBorders>
            <w:vAlign w:val="center"/>
          </w:tcPr>
          <w:p w:rsidR="00D31557" w:rsidRPr="00750FA1" w:rsidRDefault="004925E0" w:rsidP="00BE0DC6">
            <w:pPr>
              <w:snapToGrid w:val="0"/>
              <w:rPr>
                <w:rFonts w:ascii="仿宋" w:eastAsia="仿宋" w:hAnsi="仿宋"/>
                <w:szCs w:val="21"/>
              </w:rPr>
            </w:pPr>
            <w:r>
              <w:rPr>
                <w:rFonts w:ascii="仿宋" w:eastAsia="仿宋" w:hAnsi="仿宋"/>
                <w:szCs w:val="21"/>
              </w:rPr>
              <w:t>3</w:t>
            </w:r>
            <w:r w:rsidR="00750FA1">
              <w:rPr>
                <w:rFonts w:ascii="仿宋" w:eastAsia="仿宋" w:hAnsi="仿宋" w:hint="eastAsia"/>
                <w:szCs w:val="21"/>
              </w:rPr>
              <w:t>期</w:t>
            </w:r>
          </w:p>
        </w:tc>
      </w:tr>
      <w:tr w:rsidR="004925E0"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4925E0" w:rsidRPr="00604BDF" w:rsidRDefault="00604BDF" w:rsidP="00BE0DC6">
            <w:pPr>
              <w:snapToGrid w:val="0"/>
              <w:rPr>
                <w:rFonts w:ascii="仿宋" w:eastAsia="仿宋" w:hAnsi="仿宋"/>
                <w:b/>
                <w:szCs w:val="21"/>
              </w:rPr>
            </w:pPr>
            <w:r>
              <w:rPr>
                <w:rFonts w:ascii="仿宋" w:eastAsia="仿宋" w:hAnsi="仿宋" w:hint="eastAsia"/>
                <w:b/>
                <w:szCs w:val="21"/>
              </w:rPr>
              <w:t>期限</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4925E0" w:rsidRPr="00750FA1" w:rsidRDefault="004925E0" w:rsidP="00BE0DC6">
            <w:pPr>
              <w:snapToGrid w:val="0"/>
              <w:rPr>
                <w:rFonts w:ascii="仿宋" w:eastAsia="仿宋" w:hAnsi="仿宋"/>
                <w:szCs w:val="21"/>
              </w:rPr>
            </w:pPr>
            <w:r w:rsidRPr="00750FA1">
              <w:rPr>
                <w:rFonts w:ascii="仿宋" w:eastAsia="仿宋" w:hAnsi="仿宋" w:hint="eastAsia"/>
                <w:szCs w:val="21"/>
              </w:rPr>
              <w:t>非固定期限</w:t>
            </w:r>
          </w:p>
        </w:tc>
      </w:tr>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D31557" w:rsidRPr="00604BDF" w:rsidRDefault="00604BDF" w:rsidP="00BE0DC6">
            <w:pPr>
              <w:snapToGrid w:val="0"/>
              <w:rPr>
                <w:rFonts w:ascii="仿宋" w:eastAsia="仿宋" w:hAnsi="仿宋"/>
                <w:b/>
                <w:szCs w:val="21"/>
              </w:rPr>
            </w:pPr>
            <w:r>
              <w:rPr>
                <w:rFonts w:ascii="仿宋" w:eastAsia="仿宋" w:hAnsi="仿宋" w:hint="eastAsia"/>
                <w:b/>
                <w:szCs w:val="21"/>
              </w:rPr>
              <w:t>产品类型</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D31557" w:rsidRPr="00750FA1" w:rsidRDefault="00750FA1" w:rsidP="00BE0DC6">
            <w:pPr>
              <w:snapToGrid w:val="0"/>
              <w:rPr>
                <w:rFonts w:ascii="仿宋" w:eastAsia="仿宋" w:hAnsi="仿宋"/>
                <w:szCs w:val="21"/>
              </w:rPr>
            </w:pPr>
            <w:r>
              <w:rPr>
                <w:rFonts w:ascii="仿宋" w:eastAsia="仿宋" w:hAnsi="仿宋" w:hint="eastAsia"/>
                <w:szCs w:val="21"/>
              </w:rPr>
              <w:t>存款型</w:t>
            </w:r>
          </w:p>
        </w:tc>
      </w:tr>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D31557" w:rsidRPr="00604BDF" w:rsidRDefault="00604BDF" w:rsidP="00BE0DC6">
            <w:pPr>
              <w:snapToGrid w:val="0"/>
              <w:rPr>
                <w:rFonts w:ascii="仿宋" w:eastAsia="仿宋" w:hAnsi="仿宋"/>
                <w:b/>
                <w:szCs w:val="21"/>
              </w:rPr>
            </w:pPr>
            <w:r>
              <w:rPr>
                <w:rFonts w:ascii="仿宋" w:eastAsia="仿宋" w:hAnsi="仿宋" w:hint="eastAsia"/>
                <w:b/>
                <w:szCs w:val="21"/>
              </w:rPr>
              <w:t>业绩基准</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D31557" w:rsidRPr="00750FA1" w:rsidRDefault="002E7CD6" w:rsidP="00BE0DC6">
            <w:pPr>
              <w:snapToGrid w:val="0"/>
              <w:rPr>
                <w:rFonts w:ascii="仿宋" w:eastAsia="仿宋" w:hAnsi="仿宋"/>
                <w:szCs w:val="21"/>
              </w:rPr>
            </w:pPr>
            <w:r w:rsidRPr="00750FA1">
              <w:rPr>
                <w:rFonts w:ascii="仿宋" w:eastAsia="仿宋" w:hAnsi="仿宋" w:hint="eastAsia"/>
                <w:szCs w:val="21"/>
              </w:rPr>
              <w:t>三年期银行定期存款利率（如遇人民银行调整利率则作相应调整）。如产品投资管理人认为确有需要变更业绩比较基准的，经履行适当程序后，可变更本产品的基准。</w:t>
            </w:r>
          </w:p>
        </w:tc>
      </w:tr>
      <w:tr w:rsidR="00D31557"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D31557" w:rsidRPr="00604BDF" w:rsidRDefault="00604BDF" w:rsidP="00BE0DC6">
            <w:pPr>
              <w:snapToGrid w:val="0"/>
              <w:rPr>
                <w:rFonts w:ascii="仿宋" w:eastAsia="仿宋" w:hAnsi="仿宋"/>
                <w:b/>
                <w:szCs w:val="21"/>
              </w:rPr>
            </w:pPr>
            <w:r>
              <w:rPr>
                <w:rFonts w:ascii="仿宋" w:eastAsia="仿宋" w:hAnsi="仿宋" w:hint="eastAsia"/>
                <w:b/>
                <w:szCs w:val="21"/>
              </w:rPr>
              <w:t>募集期</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D31557" w:rsidRPr="00750FA1" w:rsidRDefault="009F420F" w:rsidP="00C76F45">
            <w:pPr>
              <w:snapToGrid w:val="0"/>
              <w:rPr>
                <w:rFonts w:ascii="仿宋" w:eastAsia="仿宋" w:hAnsi="仿宋"/>
                <w:szCs w:val="21"/>
              </w:rPr>
            </w:pPr>
            <w:r>
              <w:rPr>
                <w:rFonts w:ascii="仿宋" w:eastAsia="仿宋" w:hAnsi="仿宋"/>
                <w:szCs w:val="21"/>
              </w:rPr>
              <w:t>2019</w:t>
            </w:r>
            <w:r>
              <w:rPr>
                <w:rFonts w:ascii="仿宋" w:eastAsia="仿宋" w:hAnsi="仿宋" w:hint="eastAsia"/>
                <w:szCs w:val="21"/>
              </w:rPr>
              <w:t>年</w:t>
            </w:r>
            <w:r w:rsidR="00604BDF">
              <w:rPr>
                <w:rFonts w:ascii="仿宋" w:eastAsia="仿宋" w:hAnsi="仿宋"/>
                <w:szCs w:val="21"/>
              </w:rPr>
              <w:t>5</w:t>
            </w:r>
            <w:r w:rsidR="00004BC0">
              <w:rPr>
                <w:rFonts w:ascii="仿宋" w:eastAsia="仿宋" w:hAnsi="仿宋" w:hint="eastAsia"/>
                <w:szCs w:val="21"/>
              </w:rPr>
              <w:t>月</w:t>
            </w:r>
            <w:r w:rsidR="00604BDF">
              <w:rPr>
                <w:rFonts w:ascii="仿宋" w:eastAsia="仿宋" w:hAnsi="仿宋"/>
                <w:szCs w:val="21"/>
              </w:rPr>
              <w:t>1</w:t>
            </w:r>
            <w:r w:rsidR="00C76F45">
              <w:rPr>
                <w:rFonts w:ascii="仿宋" w:eastAsia="仿宋" w:hAnsi="仿宋"/>
                <w:szCs w:val="21"/>
              </w:rPr>
              <w:t>6</w:t>
            </w:r>
            <w:r w:rsidR="00004BC0">
              <w:rPr>
                <w:rFonts w:ascii="仿宋" w:eastAsia="仿宋" w:hAnsi="仿宋" w:hint="eastAsia"/>
                <w:szCs w:val="21"/>
              </w:rPr>
              <w:t>日</w:t>
            </w:r>
          </w:p>
        </w:tc>
      </w:tr>
      <w:tr w:rsidR="00BB2D0F"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BB2D0F" w:rsidRPr="00604BDF" w:rsidRDefault="00BB2D0F" w:rsidP="00004BC0">
            <w:pPr>
              <w:snapToGrid w:val="0"/>
              <w:rPr>
                <w:rFonts w:ascii="仿宋" w:eastAsia="仿宋" w:hAnsi="仿宋"/>
                <w:b/>
                <w:szCs w:val="21"/>
              </w:rPr>
            </w:pPr>
            <w:r w:rsidRPr="00604BDF">
              <w:rPr>
                <w:rFonts w:ascii="仿宋" w:eastAsia="仿宋" w:hAnsi="仿宋" w:hint="eastAsia"/>
                <w:b/>
                <w:szCs w:val="21"/>
              </w:rPr>
              <w:t>成立</w:t>
            </w:r>
            <w:r w:rsidR="00604BDF">
              <w:rPr>
                <w:rFonts w:ascii="仿宋" w:eastAsia="仿宋" w:hAnsi="仿宋" w:hint="eastAsia"/>
                <w:b/>
                <w:szCs w:val="21"/>
              </w:rPr>
              <w:t>日</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BB2D0F" w:rsidRPr="00750FA1" w:rsidRDefault="009F420F" w:rsidP="00C76F45">
            <w:pPr>
              <w:snapToGrid w:val="0"/>
              <w:rPr>
                <w:rFonts w:ascii="仿宋" w:eastAsia="仿宋" w:hAnsi="仿宋"/>
                <w:szCs w:val="21"/>
              </w:rPr>
            </w:pPr>
            <w:r>
              <w:rPr>
                <w:rFonts w:ascii="仿宋" w:eastAsia="仿宋" w:hAnsi="仿宋"/>
                <w:szCs w:val="21"/>
              </w:rPr>
              <w:t>2019</w:t>
            </w:r>
            <w:r>
              <w:rPr>
                <w:rFonts w:ascii="仿宋" w:eastAsia="仿宋" w:hAnsi="仿宋" w:hint="eastAsia"/>
                <w:szCs w:val="21"/>
              </w:rPr>
              <w:t>年</w:t>
            </w:r>
            <w:r w:rsidR="00604BDF">
              <w:rPr>
                <w:rFonts w:ascii="仿宋" w:eastAsia="仿宋" w:hAnsi="仿宋"/>
                <w:szCs w:val="21"/>
              </w:rPr>
              <w:t>5</w:t>
            </w:r>
            <w:r w:rsidR="00BB2D0F" w:rsidRPr="00750FA1">
              <w:rPr>
                <w:rFonts w:ascii="仿宋" w:eastAsia="仿宋" w:hAnsi="仿宋" w:hint="eastAsia"/>
                <w:szCs w:val="21"/>
              </w:rPr>
              <w:t>月</w:t>
            </w:r>
            <w:r w:rsidR="00604BDF">
              <w:rPr>
                <w:rFonts w:ascii="仿宋" w:eastAsia="仿宋" w:hAnsi="仿宋"/>
                <w:szCs w:val="21"/>
              </w:rPr>
              <w:t>1</w:t>
            </w:r>
            <w:r w:rsidR="00C76F45">
              <w:rPr>
                <w:rFonts w:ascii="仿宋" w:eastAsia="仿宋" w:hAnsi="仿宋"/>
                <w:szCs w:val="21"/>
              </w:rPr>
              <w:t>7</w:t>
            </w:r>
            <w:r w:rsidR="00BB2D0F" w:rsidRPr="00750FA1">
              <w:rPr>
                <w:rFonts w:ascii="仿宋" w:eastAsia="仿宋" w:hAnsi="仿宋" w:hint="eastAsia"/>
                <w:szCs w:val="21"/>
              </w:rPr>
              <w:t>日</w:t>
            </w:r>
          </w:p>
        </w:tc>
      </w:tr>
      <w:tr w:rsidR="00BE5DD8" w:rsidRPr="00750FA1" w:rsidTr="00904077">
        <w:tc>
          <w:tcPr>
            <w:tcW w:w="1561" w:type="pct"/>
            <w:tcBorders>
              <w:top w:val="single" w:sz="4" w:space="0" w:color="000000"/>
              <w:left w:val="single" w:sz="4" w:space="0" w:color="000000"/>
              <w:bottom w:val="single" w:sz="4" w:space="0" w:color="000000"/>
              <w:right w:val="single" w:sz="4" w:space="0" w:color="000000"/>
            </w:tcBorders>
            <w:vAlign w:val="center"/>
            <w:hideMark/>
          </w:tcPr>
          <w:p w:rsidR="00BE5DD8" w:rsidRPr="00604BDF" w:rsidRDefault="00BE5DD8" w:rsidP="00904077">
            <w:pPr>
              <w:snapToGrid w:val="0"/>
              <w:rPr>
                <w:rFonts w:ascii="仿宋" w:eastAsia="仿宋" w:hAnsi="仿宋"/>
                <w:b/>
                <w:szCs w:val="21"/>
              </w:rPr>
            </w:pPr>
            <w:r w:rsidRPr="00604BDF">
              <w:rPr>
                <w:rFonts w:ascii="仿宋" w:eastAsia="仿宋" w:hAnsi="仿宋" w:hint="eastAsia"/>
                <w:b/>
                <w:szCs w:val="21"/>
              </w:rPr>
              <w:t>客户申购</w:t>
            </w:r>
            <w:r>
              <w:rPr>
                <w:rFonts w:ascii="仿宋" w:eastAsia="仿宋" w:hAnsi="仿宋" w:hint="eastAsia"/>
                <w:b/>
                <w:szCs w:val="21"/>
              </w:rPr>
              <w:t>起点金额</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BE5DD8" w:rsidRPr="00750FA1" w:rsidRDefault="00BE5DD8" w:rsidP="00904077">
            <w:pPr>
              <w:snapToGrid w:val="0"/>
              <w:rPr>
                <w:rFonts w:ascii="仿宋" w:eastAsia="仿宋" w:hAnsi="仿宋"/>
                <w:szCs w:val="21"/>
              </w:rPr>
            </w:pPr>
            <w:r w:rsidRPr="00750FA1">
              <w:rPr>
                <w:rFonts w:ascii="仿宋" w:eastAsia="仿宋" w:hAnsi="仿宋" w:hint="eastAsia"/>
                <w:szCs w:val="21"/>
              </w:rPr>
              <w:t>10万元</w:t>
            </w:r>
          </w:p>
        </w:tc>
      </w:tr>
      <w:tr w:rsidR="00BE5DD8" w:rsidRPr="005E1D80" w:rsidTr="00904077">
        <w:tc>
          <w:tcPr>
            <w:tcW w:w="1561" w:type="pct"/>
            <w:tcBorders>
              <w:top w:val="single" w:sz="4" w:space="0" w:color="auto"/>
              <w:left w:val="single" w:sz="4" w:space="0" w:color="auto"/>
              <w:bottom w:val="single" w:sz="4" w:space="0" w:color="auto"/>
              <w:right w:val="single" w:sz="4" w:space="0" w:color="auto"/>
            </w:tcBorders>
            <w:shd w:val="clear" w:color="auto" w:fill="FFFFFF"/>
            <w:vAlign w:val="center"/>
          </w:tcPr>
          <w:p w:rsidR="00BE5DD8" w:rsidRPr="00AA3629" w:rsidRDefault="00BE5DD8" w:rsidP="00904077">
            <w:pPr>
              <w:adjustRightInd w:val="0"/>
              <w:snapToGrid w:val="0"/>
              <w:spacing w:beforeLines="50" w:before="156" w:afterLines="50" w:after="156"/>
              <w:rPr>
                <w:rFonts w:ascii="仿宋_GB2312" w:eastAsia="仿宋_GB2312" w:hAnsi="Calibri" w:cs="Times New Roman"/>
                <w:b/>
                <w:color w:val="000000"/>
              </w:rPr>
            </w:pPr>
            <w:r w:rsidRPr="00AA3629">
              <w:rPr>
                <w:rFonts w:ascii="仿宋_GB2312" w:eastAsia="仿宋_GB2312" w:hAnsi="Calibri" w:cs="Times New Roman" w:hint="eastAsia"/>
                <w:b/>
                <w:color w:val="000000"/>
              </w:rPr>
              <w:t>募集期申购</w:t>
            </w:r>
            <w:r w:rsidRPr="00AA3629">
              <w:rPr>
                <w:rFonts w:ascii="仿宋_GB2312" w:eastAsia="仿宋_GB2312" w:hAnsi="Calibri" w:cs="Times New Roman"/>
                <w:b/>
                <w:color w:val="000000"/>
              </w:rPr>
              <w:t>方式</w:t>
            </w:r>
          </w:p>
        </w:tc>
        <w:tc>
          <w:tcPr>
            <w:tcW w:w="3439" w:type="pct"/>
            <w:tcBorders>
              <w:top w:val="single" w:sz="4" w:space="0" w:color="auto"/>
              <w:left w:val="single" w:sz="4" w:space="0" w:color="auto"/>
              <w:bottom w:val="single" w:sz="4" w:space="0" w:color="auto"/>
              <w:right w:val="single" w:sz="4" w:space="0" w:color="auto"/>
            </w:tcBorders>
            <w:shd w:val="clear" w:color="auto" w:fill="FFFFFF"/>
            <w:vAlign w:val="center"/>
          </w:tcPr>
          <w:p w:rsidR="00BE5DD8" w:rsidRPr="005E1D80" w:rsidRDefault="00BE5DD8" w:rsidP="00904077">
            <w:pPr>
              <w:widowControl/>
              <w:spacing w:before="120" w:after="120"/>
              <w:ind w:firstLineChars="200" w:firstLine="420"/>
              <w:rPr>
                <w:rFonts w:ascii="Times New Roman" w:eastAsia="仿宋" w:hAnsi="仿宋"/>
                <w:color w:val="000000"/>
              </w:rPr>
            </w:pPr>
            <w:r w:rsidRPr="00AD7A06">
              <w:rPr>
                <w:rFonts w:ascii="Times New Roman" w:eastAsia="仿宋" w:hAnsi="仿宋" w:hint="eastAsia"/>
                <w:color w:val="000000"/>
              </w:rPr>
              <w:t>养老金产品投资人在募集期申购成功，养老金产品投资管理人根据其已缴付的申购款项本金以及申购申请确认日起至产品成立日（不含成立日当天）的对应期限银行存款利息，按照初始单位净值折算成份额通知注册登记人予以记录，其中利息转份额以产品注册登记机构的记录为准。</w:t>
            </w:r>
            <w:r w:rsidRPr="00BE5DD8">
              <w:rPr>
                <w:rFonts w:ascii="Times New Roman" w:eastAsia="仿宋" w:hAnsi="仿宋" w:hint="eastAsia"/>
                <w:color w:val="000000"/>
              </w:rPr>
              <w:t>募集期如为</w:t>
            </w:r>
            <w:r w:rsidRPr="00BE5DD8">
              <w:rPr>
                <w:rFonts w:ascii="Times New Roman" w:eastAsia="仿宋" w:hAnsi="仿宋" w:hint="eastAsia"/>
                <w:color w:val="000000"/>
              </w:rPr>
              <w:t>1</w:t>
            </w:r>
            <w:r w:rsidRPr="00BE5DD8">
              <w:rPr>
                <w:rFonts w:ascii="Times New Roman" w:eastAsia="仿宋" w:hAnsi="仿宋" w:hint="eastAsia"/>
                <w:color w:val="000000"/>
              </w:rPr>
              <w:t>天申购资金不计息。</w:t>
            </w:r>
          </w:p>
        </w:tc>
      </w:tr>
      <w:tr w:rsidR="00BE5DD8" w:rsidRPr="00B0038F" w:rsidTr="00904077">
        <w:tc>
          <w:tcPr>
            <w:tcW w:w="1561" w:type="pct"/>
            <w:tcBorders>
              <w:top w:val="single" w:sz="4" w:space="0" w:color="auto"/>
              <w:left w:val="single" w:sz="4" w:space="0" w:color="auto"/>
              <w:bottom w:val="single" w:sz="4" w:space="0" w:color="auto"/>
              <w:right w:val="single" w:sz="4" w:space="0" w:color="auto"/>
            </w:tcBorders>
            <w:shd w:val="clear" w:color="auto" w:fill="FFFFFF"/>
            <w:vAlign w:val="center"/>
          </w:tcPr>
          <w:p w:rsidR="00BE5DD8" w:rsidRPr="00AA3629" w:rsidRDefault="00BE5DD8" w:rsidP="00904077">
            <w:pPr>
              <w:widowControl/>
              <w:spacing w:before="120" w:after="120"/>
              <w:rPr>
                <w:rFonts w:ascii="Times New Roman" w:eastAsia="仿宋" w:hAnsi="仿宋"/>
                <w:b/>
                <w:color w:val="000000"/>
              </w:rPr>
            </w:pPr>
            <w:r w:rsidRPr="00AA3629">
              <w:rPr>
                <w:rFonts w:ascii="Times New Roman" w:eastAsia="仿宋" w:hAnsi="仿宋" w:hint="eastAsia"/>
                <w:b/>
                <w:color w:val="000000"/>
              </w:rPr>
              <w:t>申赎规则</w:t>
            </w:r>
          </w:p>
        </w:tc>
        <w:tc>
          <w:tcPr>
            <w:tcW w:w="3439" w:type="pct"/>
            <w:tcBorders>
              <w:top w:val="single" w:sz="4" w:space="0" w:color="auto"/>
              <w:left w:val="single" w:sz="4" w:space="0" w:color="auto"/>
              <w:bottom w:val="single" w:sz="4" w:space="0" w:color="auto"/>
              <w:right w:val="single" w:sz="4" w:space="0" w:color="auto"/>
            </w:tcBorders>
            <w:shd w:val="clear" w:color="auto" w:fill="FFFFFF"/>
            <w:vAlign w:val="center"/>
          </w:tcPr>
          <w:p w:rsidR="00BE5DD8" w:rsidRPr="00B0038F" w:rsidRDefault="00BE5DD8" w:rsidP="00904077">
            <w:pPr>
              <w:widowControl/>
              <w:spacing w:before="120" w:after="120"/>
              <w:rPr>
                <w:rFonts w:ascii="Times New Roman" w:eastAsia="仿宋" w:hAnsi="仿宋"/>
                <w:color w:val="000000"/>
              </w:rPr>
            </w:pPr>
            <w:r>
              <w:rPr>
                <w:rFonts w:ascii="Times New Roman" w:eastAsia="仿宋" w:hAnsi="仿宋"/>
                <w:color w:val="000000"/>
              </w:rPr>
              <w:t>1</w:t>
            </w:r>
            <w:r>
              <w:rPr>
                <w:rFonts w:ascii="Times New Roman" w:eastAsia="仿宋" w:hAnsi="仿宋" w:hint="eastAsia"/>
                <w:color w:val="000000"/>
              </w:rPr>
              <w:t>、由于</w:t>
            </w:r>
            <w:r>
              <w:rPr>
                <w:rFonts w:ascii="Times New Roman" w:eastAsia="仿宋" w:hAnsi="仿宋"/>
                <w:color w:val="000000"/>
              </w:rPr>
              <w:t>产品特性，</w:t>
            </w:r>
            <w:r w:rsidRPr="00B0038F">
              <w:rPr>
                <w:rFonts w:ascii="Times New Roman" w:eastAsia="仿宋" w:hAnsi="仿宋" w:hint="eastAsia"/>
                <w:color w:val="000000"/>
              </w:rPr>
              <w:t>本产品申购与赎回前，由产品管理人排摸委托人投资需求并总体把握产品流动性承受能力，在投资管理人认可的情况下接受产品</w:t>
            </w:r>
            <w:r>
              <w:rPr>
                <w:rFonts w:ascii="Times New Roman" w:eastAsia="仿宋" w:hAnsi="仿宋" w:hint="eastAsia"/>
                <w:color w:val="000000"/>
              </w:rPr>
              <w:t>份额</w:t>
            </w:r>
            <w:r w:rsidRPr="00B0038F">
              <w:rPr>
                <w:rFonts w:ascii="Times New Roman" w:eastAsia="仿宋" w:hAnsi="仿宋" w:hint="eastAsia"/>
                <w:color w:val="000000"/>
              </w:rPr>
              <w:t>申赎。</w:t>
            </w:r>
          </w:p>
          <w:p w:rsidR="00BE5DD8" w:rsidRDefault="00BE5DD8" w:rsidP="00904077">
            <w:pPr>
              <w:widowControl/>
              <w:spacing w:before="120" w:after="120"/>
              <w:rPr>
                <w:rFonts w:ascii="Times New Roman" w:eastAsia="仿宋" w:hAnsi="仿宋"/>
                <w:color w:val="000000"/>
              </w:rPr>
            </w:pPr>
            <w:r>
              <w:rPr>
                <w:rFonts w:ascii="Times New Roman" w:eastAsia="仿宋" w:hAnsi="仿宋"/>
                <w:color w:val="000000"/>
              </w:rPr>
              <w:t>2</w:t>
            </w:r>
            <w:r>
              <w:rPr>
                <w:rFonts w:ascii="Times New Roman" w:eastAsia="仿宋" w:hAnsi="仿宋" w:hint="eastAsia"/>
                <w:color w:val="000000"/>
              </w:rPr>
              <w:t>、</w:t>
            </w:r>
            <w:r w:rsidRPr="00B0038F">
              <w:rPr>
                <w:rFonts w:ascii="Times New Roman" w:eastAsia="仿宋" w:hAnsi="仿宋" w:hint="eastAsia"/>
                <w:color w:val="000000"/>
              </w:rPr>
              <w:t>产品赎回前需提前至少</w:t>
            </w:r>
            <w:r w:rsidRPr="00B0038F">
              <w:rPr>
                <w:rFonts w:ascii="Times New Roman" w:eastAsia="仿宋" w:hAnsi="仿宋"/>
                <w:color w:val="000000"/>
              </w:rPr>
              <w:t>5</w:t>
            </w:r>
            <w:r w:rsidRPr="00B0038F">
              <w:rPr>
                <w:rFonts w:ascii="Times New Roman" w:eastAsia="仿宋" w:hAnsi="仿宋" w:hint="eastAsia"/>
                <w:color w:val="000000"/>
              </w:rPr>
              <w:t>个交易日与产品管理人协商，</w:t>
            </w:r>
            <w:r>
              <w:rPr>
                <w:rFonts w:ascii="Times New Roman" w:eastAsia="仿宋" w:hAnsi="仿宋" w:hint="eastAsia"/>
                <w:color w:val="000000"/>
              </w:rPr>
              <w:t>委托人</w:t>
            </w:r>
            <w:r w:rsidRPr="00B0038F">
              <w:rPr>
                <w:rFonts w:ascii="Times New Roman" w:eastAsia="仿宋" w:hAnsi="仿宋" w:hint="eastAsia"/>
                <w:color w:val="000000"/>
              </w:rPr>
              <w:t>根据协商结果发起份额赎回。</w:t>
            </w:r>
          </w:p>
          <w:p w:rsidR="00BE5DD8" w:rsidRPr="00B0038F" w:rsidRDefault="00BE5DD8" w:rsidP="00904077">
            <w:pPr>
              <w:widowControl/>
              <w:spacing w:before="120" w:after="120"/>
              <w:rPr>
                <w:rFonts w:ascii="Times New Roman" w:eastAsia="仿宋" w:hAnsi="仿宋"/>
                <w:color w:val="000000"/>
              </w:rPr>
            </w:pPr>
            <w:r>
              <w:rPr>
                <w:rFonts w:ascii="Times New Roman" w:eastAsia="仿宋" w:hAnsi="仿宋" w:hint="eastAsia"/>
                <w:color w:val="000000"/>
              </w:rPr>
              <w:t>3</w:t>
            </w:r>
            <w:r>
              <w:rPr>
                <w:rFonts w:ascii="Times New Roman" w:eastAsia="仿宋" w:hAnsi="仿宋" w:hint="eastAsia"/>
                <w:color w:val="000000"/>
              </w:rPr>
              <w:t>、</w:t>
            </w:r>
            <w:r w:rsidRPr="005549C1">
              <w:rPr>
                <w:rFonts w:ascii="仿宋" w:eastAsia="仿宋" w:hAnsi="仿宋" w:hint="eastAsia"/>
                <w:szCs w:val="21"/>
              </w:rPr>
              <w:t>本产品投资管理人</w:t>
            </w:r>
            <w:r>
              <w:rPr>
                <w:rFonts w:ascii="仿宋" w:eastAsia="仿宋" w:hAnsi="仿宋" w:hint="eastAsia"/>
                <w:szCs w:val="21"/>
              </w:rPr>
              <w:t>可根据投资管理需求</w:t>
            </w:r>
            <w:r>
              <w:rPr>
                <w:rFonts w:ascii="仿宋" w:eastAsia="仿宋" w:hAnsi="仿宋"/>
                <w:szCs w:val="21"/>
              </w:rPr>
              <w:t>，</w:t>
            </w:r>
            <w:r>
              <w:rPr>
                <w:rFonts w:ascii="仿宋" w:eastAsia="仿宋" w:hAnsi="仿宋" w:hint="eastAsia"/>
                <w:szCs w:val="21"/>
              </w:rPr>
              <w:t>在</w:t>
            </w:r>
            <w:r w:rsidRPr="005549C1">
              <w:rPr>
                <w:rFonts w:ascii="仿宋" w:eastAsia="仿宋" w:hAnsi="仿宋" w:hint="eastAsia"/>
                <w:szCs w:val="21"/>
              </w:rPr>
              <w:t>事前公告</w:t>
            </w:r>
            <w:r>
              <w:rPr>
                <w:rFonts w:ascii="仿宋" w:eastAsia="仿宋" w:hAnsi="仿宋" w:hint="eastAsia"/>
                <w:szCs w:val="21"/>
              </w:rPr>
              <w:t>的</w:t>
            </w:r>
            <w:r>
              <w:rPr>
                <w:rFonts w:ascii="仿宋" w:eastAsia="仿宋" w:hAnsi="仿宋"/>
                <w:szCs w:val="21"/>
              </w:rPr>
              <w:t>前提下，变更产品的申购、赎回规则</w:t>
            </w:r>
            <w:r w:rsidRPr="005549C1">
              <w:rPr>
                <w:rFonts w:ascii="仿宋" w:eastAsia="仿宋" w:hAnsi="仿宋" w:hint="eastAsia"/>
                <w:szCs w:val="21"/>
              </w:rPr>
              <w:t>。</w:t>
            </w:r>
          </w:p>
        </w:tc>
      </w:tr>
      <w:tr w:rsidR="00BB2D0F" w:rsidRPr="00750FA1" w:rsidTr="00604BDF">
        <w:trPr>
          <w:trHeight w:val="2524"/>
        </w:trPr>
        <w:tc>
          <w:tcPr>
            <w:tcW w:w="1561" w:type="pct"/>
            <w:tcBorders>
              <w:top w:val="single" w:sz="4" w:space="0" w:color="000000"/>
              <w:left w:val="single" w:sz="4" w:space="0" w:color="000000"/>
              <w:bottom w:val="single" w:sz="4" w:space="0" w:color="000000"/>
              <w:right w:val="single" w:sz="4" w:space="0" w:color="000000"/>
            </w:tcBorders>
            <w:vAlign w:val="center"/>
            <w:hideMark/>
          </w:tcPr>
          <w:p w:rsidR="00BB2D0F" w:rsidRPr="00604BDF" w:rsidRDefault="00604BDF" w:rsidP="00BE0DC6">
            <w:pPr>
              <w:snapToGrid w:val="0"/>
              <w:rPr>
                <w:rFonts w:ascii="仿宋" w:eastAsia="仿宋" w:hAnsi="仿宋"/>
                <w:b/>
                <w:szCs w:val="21"/>
              </w:rPr>
            </w:pPr>
            <w:r>
              <w:rPr>
                <w:rFonts w:ascii="仿宋" w:eastAsia="仿宋" w:hAnsi="仿宋" w:hint="eastAsia"/>
                <w:b/>
                <w:szCs w:val="21"/>
              </w:rPr>
              <w:t>投资范围</w:t>
            </w:r>
          </w:p>
        </w:tc>
        <w:tc>
          <w:tcPr>
            <w:tcW w:w="3439" w:type="pct"/>
            <w:tcBorders>
              <w:top w:val="single" w:sz="4" w:space="0" w:color="000000"/>
              <w:left w:val="single" w:sz="4" w:space="0" w:color="000000"/>
              <w:bottom w:val="single" w:sz="4" w:space="0" w:color="000000"/>
              <w:right w:val="single" w:sz="4" w:space="0" w:color="000000"/>
            </w:tcBorders>
            <w:vAlign w:val="center"/>
          </w:tcPr>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本养老金产品限于境内投资，投资范围为《关于企业年金养老金产品有关问题的通知》（第24号文）允许固定收益型养老金产品投资的金融产品，以投资银行存款、协议存款等存款型资产为主。</w:t>
            </w:r>
          </w:p>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产品允许投资商业银行理财产品、银行定期存款、协议存款、国债、金融债、企业（公司）债、可转换债（含分离交易可转换债）、短期融资券、中期票据、信托产品、基础设施债权投资计划、特定资产管理计划、债券基金及货币类资产。</w:t>
            </w:r>
          </w:p>
          <w:p w:rsidR="00BB2D0F" w:rsidRPr="00750FA1"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如法律法规或监管机构以后允许投资其他品种，投资管理人在履行适当程序后，可以将其纳入投资范围。</w:t>
            </w:r>
          </w:p>
        </w:tc>
      </w:tr>
      <w:tr w:rsidR="00BB2D0F"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hideMark/>
          </w:tcPr>
          <w:p w:rsidR="00BB2D0F" w:rsidRPr="00604BDF" w:rsidRDefault="00BB2D0F" w:rsidP="00BE0DC6">
            <w:pPr>
              <w:snapToGrid w:val="0"/>
              <w:rPr>
                <w:rFonts w:ascii="仿宋" w:eastAsia="仿宋" w:hAnsi="仿宋"/>
                <w:b/>
                <w:szCs w:val="21"/>
              </w:rPr>
            </w:pPr>
            <w:r w:rsidRPr="00604BDF">
              <w:rPr>
                <w:rFonts w:ascii="仿宋" w:eastAsia="仿宋" w:hAnsi="仿宋" w:hint="eastAsia"/>
                <w:b/>
                <w:szCs w:val="21"/>
              </w:rPr>
              <w:t>投资比例</w:t>
            </w:r>
          </w:p>
        </w:tc>
        <w:tc>
          <w:tcPr>
            <w:tcW w:w="3439" w:type="pct"/>
            <w:tcBorders>
              <w:top w:val="single" w:sz="4" w:space="0" w:color="000000"/>
              <w:left w:val="single" w:sz="4" w:space="0" w:color="000000"/>
              <w:bottom w:val="single" w:sz="4" w:space="0" w:color="000000"/>
              <w:right w:val="single" w:sz="4" w:space="0" w:color="000000"/>
            </w:tcBorders>
            <w:vAlign w:val="center"/>
          </w:tcPr>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各分期账户）投资于固定收益类资产（包括一年期以上的银行定期存款、协议存款、国债、金融债、企业（公司）债、可转换债（含分离交易可转换债）、短期融资券、中期票据、商业银行理财产品、信托产品、基础设施债权投资计划、特定资产管理计划、债券基金等）的比例，合计应高于本养老金产品资产净值的80%，但不高于本养老金产品资产净值的115%。</w:t>
            </w:r>
          </w:p>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债券正回购的资金余额在每个交易日均不得高于本养老金产品资产净值的20%。</w:t>
            </w:r>
          </w:p>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本养老金产品（各分期账户）投资货币类资产（包括银行活期存款、期限在一年期以内（含一年）的中央银行票据、一</w:t>
            </w:r>
            <w:r w:rsidRPr="00604BDF">
              <w:rPr>
                <w:rFonts w:ascii="仿宋" w:eastAsia="仿宋" w:hAnsi="仿宋" w:hint="eastAsia"/>
                <w:szCs w:val="21"/>
              </w:rPr>
              <w:lastRenderedPageBreak/>
              <w:t>年期以内（含一年）的银行定期存款、债券回购、货币市场基金等符合法律、法规规定的流动性资产）的配置比例，合计应不低于本养老金产品资产净值的5%。</w:t>
            </w:r>
          </w:p>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本养老金产品（各分期账户）80%以上的非现金资产投资于银行存款、协议存款等存款型资产。</w:t>
            </w:r>
          </w:p>
          <w:p w:rsidR="00604BDF" w:rsidRPr="00604BDF"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本养老金产品的各分期账户均需分别符合上述投资比例。</w:t>
            </w:r>
          </w:p>
          <w:p w:rsidR="00BB2D0F" w:rsidRPr="00750FA1" w:rsidRDefault="00604BDF" w:rsidP="00604BDF">
            <w:pPr>
              <w:snapToGrid w:val="0"/>
              <w:ind w:firstLineChars="200" w:firstLine="420"/>
              <w:rPr>
                <w:rFonts w:ascii="仿宋" w:eastAsia="仿宋" w:hAnsi="仿宋"/>
                <w:szCs w:val="21"/>
              </w:rPr>
            </w:pPr>
            <w:r w:rsidRPr="00604BDF">
              <w:rPr>
                <w:rFonts w:ascii="仿宋" w:eastAsia="仿宋" w:hAnsi="仿宋" w:hint="eastAsia"/>
                <w:szCs w:val="21"/>
              </w:rPr>
              <w:t>本养老金产品的具体投资范围和投资比例同时也需满足国家法律法规的相关规定，在监管部门调整相关规定时，经履行必要的程序后，本养老金产品投资范围和投资比例可进行相应调整。</w:t>
            </w:r>
          </w:p>
        </w:tc>
      </w:tr>
      <w:tr w:rsidR="00BB2D0F" w:rsidRPr="00750FA1" w:rsidTr="00BE5DD8">
        <w:trPr>
          <w:trHeight w:val="405"/>
        </w:trPr>
        <w:tc>
          <w:tcPr>
            <w:tcW w:w="1561" w:type="pct"/>
            <w:tcBorders>
              <w:top w:val="single" w:sz="4" w:space="0" w:color="000000"/>
              <w:left w:val="single" w:sz="4" w:space="0" w:color="000000"/>
              <w:bottom w:val="single" w:sz="4" w:space="0" w:color="000000"/>
              <w:right w:val="single" w:sz="4" w:space="0" w:color="000000"/>
            </w:tcBorders>
            <w:vAlign w:val="center"/>
            <w:hideMark/>
          </w:tcPr>
          <w:p w:rsidR="00BB2D0F" w:rsidRPr="00604BDF" w:rsidRDefault="00604BDF" w:rsidP="00BE0DC6">
            <w:pPr>
              <w:snapToGrid w:val="0"/>
              <w:rPr>
                <w:rFonts w:ascii="仿宋" w:eastAsia="仿宋" w:hAnsi="仿宋"/>
                <w:b/>
                <w:szCs w:val="21"/>
              </w:rPr>
            </w:pPr>
            <w:r>
              <w:rPr>
                <w:rFonts w:ascii="仿宋" w:eastAsia="仿宋" w:hAnsi="仿宋" w:hint="eastAsia"/>
                <w:b/>
                <w:szCs w:val="21"/>
              </w:rPr>
              <w:lastRenderedPageBreak/>
              <w:t>投资管理费率</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BB2D0F" w:rsidRPr="00750FA1" w:rsidRDefault="00BB2D0F" w:rsidP="00E628D7">
            <w:pPr>
              <w:snapToGrid w:val="0"/>
              <w:rPr>
                <w:rFonts w:ascii="仿宋" w:eastAsia="仿宋" w:hAnsi="仿宋"/>
                <w:szCs w:val="21"/>
              </w:rPr>
            </w:pPr>
            <w:r w:rsidRPr="00750FA1">
              <w:rPr>
                <w:rFonts w:ascii="仿宋" w:eastAsia="仿宋" w:hAnsi="仿宋" w:hint="eastAsia"/>
                <w:szCs w:val="21"/>
              </w:rPr>
              <w:t>0.1</w:t>
            </w:r>
            <w:r w:rsidR="00E628D7">
              <w:rPr>
                <w:rFonts w:ascii="仿宋" w:eastAsia="仿宋" w:hAnsi="仿宋"/>
                <w:szCs w:val="21"/>
              </w:rPr>
              <w:t xml:space="preserve">8 </w:t>
            </w:r>
            <w:r w:rsidRPr="00750FA1">
              <w:rPr>
                <w:rFonts w:ascii="仿宋" w:eastAsia="仿宋" w:hAnsi="仿宋"/>
                <w:szCs w:val="21"/>
              </w:rPr>
              <w:t>%/</w:t>
            </w:r>
            <w:r w:rsidRPr="00750FA1">
              <w:rPr>
                <w:rFonts w:ascii="仿宋" w:eastAsia="仿宋" w:hAnsi="仿宋" w:hint="eastAsia"/>
                <w:szCs w:val="21"/>
              </w:rPr>
              <w:t>年</w:t>
            </w:r>
          </w:p>
        </w:tc>
      </w:tr>
      <w:tr w:rsidR="00BB2D0F" w:rsidRPr="00750FA1" w:rsidTr="00BE5DD8">
        <w:trPr>
          <w:trHeight w:val="410"/>
        </w:trPr>
        <w:tc>
          <w:tcPr>
            <w:tcW w:w="1561" w:type="pct"/>
            <w:tcBorders>
              <w:top w:val="single" w:sz="4" w:space="0" w:color="000000"/>
              <w:left w:val="single" w:sz="4" w:space="0" w:color="000000"/>
              <w:bottom w:val="single" w:sz="4" w:space="0" w:color="000000"/>
              <w:right w:val="single" w:sz="4" w:space="0" w:color="000000"/>
            </w:tcBorders>
            <w:vAlign w:val="center"/>
            <w:hideMark/>
          </w:tcPr>
          <w:p w:rsidR="00BB2D0F" w:rsidRPr="00604BDF" w:rsidRDefault="00604BDF" w:rsidP="00BE0DC6">
            <w:pPr>
              <w:snapToGrid w:val="0"/>
              <w:rPr>
                <w:rFonts w:ascii="仿宋" w:eastAsia="仿宋" w:hAnsi="仿宋"/>
                <w:b/>
                <w:szCs w:val="21"/>
              </w:rPr>
            </w:pPr>
            <w:r>
              <w:rPr>
                <w:rFonts w:ascii="仿宋" w:eastAsia="仿宋" w:hAnsi="仿宋" w:hint="eastAsia"/>
                <w:b/>
                <w:szCs w:val="21"/>
              </w:rPr>
              <w:t>托管费率</w:t>
            </w:r>
          </w:p>
        </w:tc>
        <w:tc>
          <w:tcPr>
            <w:tcW w:w="3439" w:type="pct"/>
            <w:tcBorders>
              <w:top w:val="single" w:sz="4" w:space="0" w:color="000000"/>
              <w:left w:val="single" w:sz="4" w:space="0" w:color="000000"/>
              <w:bottom w:val="single" w:sz="4" w:space="0" w:color="000000"/>
              <w:right w:val="single" w:sz="4" w:space="0" w:color="000000"/>
            </w:tcBorders>
            <w:vAlign w:val="center"/>
            <w:hideMark/>
          </w:tcPr>
          <w:p w:rsidR="00BB2D0F" w:rsidRPr="00750FA1" w:rsidRDefault="00BB2D0F" w:rsidP="00BE0DC6">
            <w:pPr>
              <w:snapToGrid w:val="0"/>
              <w:rPr>
                <w:rFonts w:ascii="仿宋" w:eastAsia="仿宋" w:hAnsi="仿宋"/>
                <w:szCs w:val="21"/>
              </w:rPr>
            </w:pPr>
            <w:r w:rsidRPr="00750FA1">
              <w:rPr>
                <w:rFonts w:ascii="仿宋" w:eastAsia="仿宋" w:hAnsi="仿宋" w:hint="eastAsia"/>
                <w:szCs w:val="21"/>
              </w:rPr>
              <w:t>0.02</w:t>
            </w:r>
            <w:r w:rsidRPr="00750FA1">
              <w:rPr>
                <w:rFonts w:ascii="仿宋" w:eastAsia="仿宋" w:hAnsi="仿宋"/>
                <w:szCs w:val="21"/>
              </w:rPr>
              <w:t xml:space="preserve"> %/</w:t>
            </w:r>
            <w:r w:rsidRPr="00750FA1">
              <w:rPr>
                <w:rFonts w:ascii="仿宋" w:eastAsia="仿宋" w:hAnsi="仿宋" w:hint="eastAsia"/>
                <w:szCs w:val="21"/>
              </w:rPr>
              <w:t>年</w:t>
            </w:r>
          </w:p>
        </w:tc>
      </w:tr>
      <w:tr w:rsidR="00BB2D0F" w:rsidRPr="00750FA1" w:rsidTr="00604BDF">
        <w:tc>
          <w:tcPr>
            <w:tcW w:w="1561" w:type="pct"/>
            <w:tcBorders>
              <w:top w:val="single" w:sz="4" w:space="0" w:color="000000"/>
              <w:left w:val="single" w:sz="4" w:space="0" w:color="000000"/>
              <w:bottom w:val="single" w:sz="4" w:space="0" w:color="000000"/>
              <w:right w:val="single" w:sz="4" w:space="0" w:color="000000"/>
            </w:tcBorders>
            <w:vAlign w:val="center"/>
          </w:tcPr>
          <w:p w:rsidR="00BB2D0F" w:rsidRPr="00604BDF" w:rsidRDefault="00604BDF" w:rsidP="00BE0DC6">
            <w:pPr>
              <w:snapToGrid w:val="0"/>
              <w:rPr>
                <w:rFonts w:ascii="仿宋" w:eastAsia="仿宋" w:hAnsi="仿宋"/>
                <w:b/>
                <w:szCs w:val="21"/>
              </w:rPr>
            </w:pPr>
            <w:r>
              <w:rPr>
                <w:rFonts w:ascii="仿宋" w:eastAsia="仿宋" w:hAnsi="仿宋" w:hint="eastAsia"/>
                <w:b/>
                <w:szCs w:val="21"/>
              </w:rPr>
              <w:t>管理费计提和收取要求</w:t>
            </w:r>
          </w:p>
        </w:tc>
        <w:tc>
          <w:tcPr>
            <w:tcW w:w="3439" w:type="pct"/>
            <w:tcBorders>
              <w:top w:val="single" w:sz="4" w:space="0" w:color="000000"/>
              <w:left w:val="single" w:sz="4" w:space="0" w:color="000000"/>
              <w:bottom w:val="single" w:sz="4" w:space="0" w:color="000000"/>
              <w:right w:val="single" w:sz="4" w:space="0" w:color="000000"/>
            </w:tcBorders>
            <w:vAlign w:val="center"/>
          </w:tcPr>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本养老金产品投资管理费年费率为0.1</w:t>
            </w:r>
            <w:r w:rsidR="00E628D7">
              <w:rPr>
                <w:rFonts w:ascii="仿宋" w:eastAsia="仿宋" w:hAnsi="仿宋"/>
                <w:szCs w:val="21"/>
              </w:rPr>
              <w:t>8</w:t>
            </w:r>
            <w:r w:rsidRPr="00604BDF">
              <w:rPr>
                <w:rFonts w:ascii="仿宋" w:eastAsia="仿宋" w:hAnsi="仿宋" w:hint="eastAsia"/>
                <w:szCs w:val="21"/>
              </w:rPr>
              <w:t>%。每日计提的投资管理费计算方法如下：</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I=E×R /当年实际天数</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I：每日应计提的投资管理费</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E：前一日投资管理的本养老金产品资产净值（首日不计提）</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R：养老金产品投资管理年费率</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投资管理费每日计提，逐日累计，按季度支付。由投资管理人向托管人发送投资管理费划款指令，托管人复核后于季度结束后15个工作日内从产品资产中一次性支付给投资管理人。若遇法定节假日、公休日等，支付日期顺延。每期产品（分期账户）投资管理费支付频度如有调整，以分期账户发售公告为准。</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养老金产品投资于同一投资管理人自身管理的金融产品，投资管理人对该部分投资资产在本产品层面不再收取以上投资管理费。</w:t>
            </w:r>
          </w:p>
          <w:p w:rsidR="00604BDF" w:rsidRPr="00604BDF" w:rsidRDefault="00604BDF" w:rsidP="00604BDF">
            <w:pPr>
              <w:ind w:firstLineChars="200" w:firstLine="420"/>
              <w:rPr>
                <w:rFonts w:ascii="仿宋" w:eastAsia="仿宋" w:hAnsi="仿宋"/>
                <w:szCs w:val="21"/>
              </w:rPr>
            </w:pP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本养老金产品托管费年费率为0.02%。每日计提的托管费计算方法如下：</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I=E×R/当年实际天数</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I：每日应计提的托管费</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E：前一日投资管理的本养老金产品资产净值（首日不计提）</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R：养老金产品托管年费率</w:t>
            </w:r>
          </w:p>
          <w:p w:rsidR="00604BDF" w:rsidRPr="00604BDF" w:rsidRDefault="00604BDF" w:rsidP="00604BDF">
            <w:pPr>
              <w:ind w:firstLineChars="200" w:firstLine="420"/>
              <w:rPr>
                <w:rFonts w:ascii="仿宋" w:eastAsia="仿宋" w:hAnsi="仿宋"/>
                <w:szCs w:val="21"/>
              </w:rPr>
            </w:pPr>
            <w:r w:rsidRPr="00604BDF">
              <w:rPr>
                <w:rFonts w:ascii="仿宋" w:eastAsia="仿宋" w:hAnsi="仿宋" w:hint="eastAsia"/>
                <w:szCs w:val="21"/>
              </w:rPr>
              <w:t>托管费每日计提，逐日累计，按季度支付。由投资管理人向托管人发送产品托管费划款指令，托管人复核后于季度结束后15个工作日内从产品资产中一次性支付给托管人。</w:t>
            </w:r>
          </w:p>
          <w:p w:rsidR="00BB2D0F" w:rsidRPr="00750FA1" w:rsidRDefault="00604BDF" w:rsidP="00604BDF">
            <w:pPr>
              <w:ind w:firstLineChars="200" w:firstLine="420"/>
              <w:rPr>
                <w:rFonts w:ascii="仿宋" w:eastAsia="仿宋" w:hAnsi="仿宋"/>
                <w:szCs w:val="21"/>
              </w:rPr>
            </w:pPr>
            <w:r w:rsidRPr="00604BDF">
              <w:rPr>
                <w:rFonts w:ascii="仿宋" w:eastAsia="仿宋" w:hAnsi="仿宋" w:hint="eastAsia"/>
                <w:szCs w:val="21"/>
              </w:rPr>
              <w:t>如产品收益不足以支付上述区间费用的，投资管理人与托管人共同协商调整费用计算结束</w:t>
            </w:r>
            <w:bookmarkStart w:id="0" w:name="_GoBack"/>
            <w:bookmarkEnd w:id="0"/>
            <w:r w:rsidRPr="00604BDF">
              <w:rPr>
                <w:rFonts w:ascii="仿宋" w:eastAsia="仿宋" w:hAnsi="仿宋" w:hint="eastAsia"/>
                <w:szCs w:val="21"/>
              </w:rPr>
              <w:t>日（须为月末最后一个自然日，产品终止除外）。</w:t>
            </w:r>
          </w:p>
        </w:tc>
      </w:tr>
      <w:tr w:rsidR="00174D7F" w:rsidRPr="00750FA1" w:rsidTr="005549C1">
        <w:trPr>
          <w:trHeight w:val="454"/>
        </w:trPr>
        <w:tc>
          <w:tcPr>
            <w:tcW w:w="1561" w:type="pct"/>
            <w:tcBorders>
              <w:top w:val="single" w:sz="4" w:space="0" w:color="000000"/>
              <w:left w:val="single" w:sz="4" w:space="0" w:color="000000"/>
              <w:bottom w:val="single" w:sz="4" w:space="0" w:color="auto"/>
              <w:right w:val="single" w:sz="4" w:space="0" w:color="000000"/>
            </w:tcBorders>
            <w:vAlign w:val="center"/>
          </w:tcPr>
          <w:p w:rsidR="00174D7F" w:rsidRPr="00604BDF" w:rsidRDefault="00174D7F" w:rsidP="00604BDF">
            <w:pPr>
              <w:snapToGrid w:val="0"/>
              <w:rPr>
                <w:rFonts w:ascii="仿宋" w:eastAsia="仿宋" w:hAnsi="仿宋" w:hint="eastAsia"/>
                <w:b/>
                <w:szCs w:val="21"/>
              </w:rPr>
            </w:pPr>
            <w:r>
              <w:rPr>
                <w:rFonts w:ascii="仿宋" w:eastAsia="仿宋" w:hAnsi="仿宋" w:hint="eastAsia"/>
                <w:b/>
                <w:szCs w:val="21"/>
              </w:rPr>
              <w:t>收益分配</w:t>
            </w:r>
            <w:r>
              <w:rPr>
                <w:rFonts w:ascii="仿宋" w:eastAsia="仿宋" w:hAnsi="仿宋"/>
                <w:b/>
                <w:szCs w:val="21"/>
              </w:rPr>
              <w:t>方式</w:t>
            </w:r>
          </w:p>
        </w:tc>
        <w:tc>
          <w:tcPr>
            <w:tcW w:w="3439" w:type="pct"/>
            <w:tcBorders>
              <w:top w:val="single" w:sz="4" w:space="0" w:color="000000"/>
              <w:left w:val="single" w:sz="4" w:space="0" w:color="000000"/>
              <w:bottom w:val="single" w:sz="4" w:space="0" w:color="auto"/>
              <w:right w:val="single" w:sz="4" w:space="0" w:color="000000"/>
            </w:tcBorders>
            <w:vAlign w:val="center"/>
          </w:tcPr>
          <w:p w:rsidR="00174D7F" w:rsidRPr="00604BDF" w:rsidRDefault="00174D7F" w:rsidP="005549C1">
            <w:pPr>
              <w:jc w:val="left"/>
              <w:rPr>
                <w:rFonts w:ascii="仿宋" w:eastAsia="仿宋" w:hAnsi="仿宋" w:hint="eastAsia"/>
                <w:szCs w:val="21"/>
              </w:rPr>
            </w:pPr>
            <w:r w:rsidRPr="00174D7F">
              <w:rPr>
                <w:rFonts w:ascii="仿宋" w:eastAsia="仿宋" w:hAnsi="仿宋" w:hint="eastAsia"/>
                <w:szCs w:val="21"/>
              </w:rPr>
              <w:t>本产品不分配收益。</w:t>
            </w:r>
          </w:p>
        </w:tc>
      </w:tr>
      <w:tr w:rsidR="00604BDF" w:rsidRPr="00750FA1" w:rsidTr="005549C1">
        <w:trPr>
          <w:trHeight w:val="454"/>
        </w:trPr>
        <w:tc>
          <w:tcPr>
            <w:tcW w:w="1561" w:type="pct"/>
            <w:tcBorders>
              <w:top w:val="single" w:sz="4" w:space="0" w:color="000000"/>
              <w:left w:val="single" w:sz="4" w:space="0" w:color="000000"/>
              <w:bottom w:val="single" w:sz="4" w:space="0" w:color="auto"/>
              <w:right w:val="single" w:sz="4" w:space="0" w:color="000000"/>
            </w:tcBorders>
            <w:vAlign w:val="center"/>
          </w:tcPr>
          <w:p w:rsidR="00604BDF" w:rsidRPr="00604BDF" w:rsidRDefault="00604BDF" w:rsidP="00604BDF">
            <w:pPr>
              <w:snapToGrid w:val="0"/>
              <w:rPr>
                <w:rFonts w:ascii="仿宋" w:eastAsia="仿宋" w:hAnsi="仿宋"/>
                <w:b/>
                <w:szCs w:val="21"/>
              </w:rPr>
            </w:pPr>
            <w:r w:rsidRPr="00604BDF">
              <w:rPr>
                <w:rFonts w:ascii="仿宋" w:eastAsia="仿宋" w:hAnsi="仿宋" w:hint="eastAsia"/>
                <w:b/>
                <w:szCs w:val="21"/>
              </w:rPr>
              <w:t>投资经理</w:t>
            </w:r>
            <w:r w:rsidRPr="00604BDF">
              <w:rPr>
                <w:rFonts w:ascii="仿宋" w:eastAsia="仿宋" w:hAnsi="仿宋" w:hint="eastAsia"/>
                <w:b/>
                <w:szCs w:val="21"/>
              </w:rPr>
              <w:tab/>
            </w:r>
          </w:p>
        </w:tc>
        <w:tc>
          <w:tcPr>
            <w:tcW w:w="3439" w:type="pct"/>
            <w:tcBorders>
              <w:top w:val="single" w:sz="4" w:space="0" w:color="000000"/>
              <w:left w:val="single" w:sz="4" w:space="0" w:color="000000"/>
              <w:bottom w:val="single" w:sz="4" w:space="0" w:color="auto"/>
              <w:right w:val="single" w:sz="4" w:space="0" w:color="000000"/>
            </w:tcBorders>
            <w:vAlign w:val="center"/>
          </w:tcPr>
          <w:p w:rsidR="00604BDF" w:rsidRDefault="00604BDF" w:rsidP="005549C1">
            <w:pPr>
              <w:jc w:val="left"/>
              <w:rPr>
                <w:rFonts w:ascii="仿宋" w:eastAsia="仿宋" w:hAnsi="仿宋"/>
                <w:szCs w:val="21"/>
              </w:rPr>
            </w:pPr>
            <w:r w:rsidRPr="00604BDF">
              <w:rPr>
                <w:rFonts w:ascii="仿宋" w:eastAsia="仿宋" w:hAnsi="仿宋" w:hint="eastAsia"/>
                <w:szCs w:val="21"/>
              </w:rPr>
              <w:t>孙颖</w:t>
            </w:r>
          </w:p>
        </w:tc>
      </w:tr>
    </w:tbl>
    <w:p w:rsidR="00D31557" w:rsidRDefault="00D31557">
      <w:pPr>
        <w:rPr>
          <w:rFonts w:hint="eastAsia"/>
        </w:rPr>
      </w:pPr>
    </w:p>
    <w:sectPr w:rsidR="00D31557" w:rsidSect="00960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D3" w:rsidRDefault="006863D3" w:rsidP="00D31557">
      <w:r>
        <w:separator/>
      </w:r>
    </w:p>
  </w:endnote>
  <w:endnote w:type="continuationSeparator" w:id="0">
    <w:p w:rsidR="006863D3" w:rsidRDefault="006863D3" w:rsidP="00D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D3" w:rsidRDefault="006863D3" w:rsidP="00D31557">
      <w:r>
        <w:separator/>
      </w:r>
    </w:p>
  </w:footnote>
  <w:footnote w:type="continuationSeparator" w:id="0">
    <w:p w:rsidR="006863D3" w:rsidRDefault="006863D3" w:rsidP="00D3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34519"/>
    <w:multiLevelType w:val="hybridMultilevel"/>
    <w:tmpl w:val="8A0ECB50"/>
    <w:lvl w:ilvl="0" w:tplc="D58AC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D41"/>
    <w:rsid w:val="00004BC0"/>
    <w:rsid w:val="00062A50"/>
    <w:rsid w:val="000904C0"/>
    <w:rsid w:val="000936CA"/>
    <w:rsid w:val="000B0B5E"/>
    <w:rsid w:val="000C7258"/>
    <w:rsid w:val="000E3055"/>
    <w:rsid w:val="000E4F8A"/>
    <w:rsid w:val="000F15C3"/>
    <w:rsid w:val="001347B7"/>
    <w:rsid w:val="00142538"/>
    <w:rsid w:val="001457D5"/>
    <w:rsid w:val="00164E6B"/>
    <w:rsid w:val="00174D7F"/>
    <w:rsid w:val="00195CF9"/>
    <w:rsid w:val="001D1871"/>
    <w:rsid w:val="00206C0A"/>
    <w:rsid w:val="002477E8"/>
    <w:rsid w:val="002B27D5"/>
    <w:rsid w:val="002E7CD6"/>
    <w:rsid w:val="0030749B"/>
    <w:rsid w:val="00314697"/>
    <w:rsid w:val="00335990"/>
    <w:rsid w:val="003503BE"/>
    <w:rsid w:val="0036734D"/>
    <w:rsid w:val="00374805"/>
    <w:rsid w:val="00386744"/>
    <w:rsid w:val="003B3F90"/>
    <w:rsid w:val="003D5A93"/>
    <w:rsid w:val="00406178"/>
    <w:rsid w:val="0041511A"/>
    <w:rsid w:val="00421332"/>
    <w:rsid w:val="004676D4"/>
    <w:rsid w:val="00477BC3"/>
    <w:rsid w:val="004925E0"/>
    <w:rsid w:val="00516578"/>
    <w:rsid w:val="005267FE"/>
    <w:rsid w:val="005357C7"/>
    <w:rsid w:val="005549C1"/>
    <w:rsid w:val="005723BB"/>
    <w:rsid w:val="00586967"/>
    <w:rsid w:val="005A3A91"/>
    <w:rsid w:val="005D676A"/>
    <w:rsid w:val="005F4EE5"/>
    <w:rsid w:val="00604BDF"/>
    <w:rsid w:val="00624691"/>
    <w:rsid w:val="006652AB"/>
    <w:rsid w:val="006863D3"/>
    <w:rsid w:val="00691ECF"/>
    <w:rsid w:val="006B0289"/>
    <w:rsid w:val="006B720F"/>
    <w:rsid w:val="00750FA1"/>
    <w:rsid w:val="00795105"/>
    <w:rsid w:val="007E6F4A"/>
    <w:rsid w:val="00816A11"/>
    <w:rsid w:val="00834E99"/>
    <w:rsid w:val="00875163"/>
    <w:rsid w:val="008A17D4"/>
    <w:rsid w:val="008F64D0"/>
    <w:rsid w:val="00945DDF"/>
    <w:rsid w:val="00952B36"/>
    <w:rsid w:val="00960554"/>
    <w:rsid w:val="009A220F"/>
    <w:rsid w:val="009B6211"/>
    <w:rsid w:val="009E7EC5"/>
    <w:rsid w:val="009F420F"/>
    <w:rsid w:val="009F6690"/>
    <w:rsid w:val="00A129C3"/>
    <w:rsid w:val="00A5436C"/>
    <w:rsid w:val="00A74EAC"/>
    <w:rsid w:val="00B03022"/>
    <w:rsid w:val="00B06226"/>
    <w:rsid w:val="00B34069"/>
    <w:rsid w:val="00B62589"/>
    <w:rsid w:val="00BB2D0F"/>
    <w:rsid w:val="00BD66A6"/>
    <w:rsid w:val="00BE0DC6"/>
    <w:rsid w:val="00BE5DD8"/>
    <w:rsid w:val="00C3446E"/>
    <w:rsid w:val="00C76F45"/>
    <w:rsid w:val="00CD5F8F"/>
    <w:rsid w:val="00CE7D41"/>
    <w:rsid w:val="00D04FB5"/>
    <w:rsid w:val="00D31557"/>
    <w:rsid w:val="00D81BAC"/>
    <w:rsid w:val="00E06169"/>
    <w:rsid w:val="00E628D7"/>
    <w:rsid w:val="00ED1014"/>
    <w:rsid w:val="00ED3ADC"/>
    <w:rsid w:val="00F1588F"/>
    <w:rsid w:val="00FE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61941-FD84-4378-88D7-C7465A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557"/>
    <w:rPr>
      <w:sz w:val="18"/>
      <w:szCs w:val="18"/>
    </w:rPr>
  </w:style>
  <w:style w:type="paragraph" w:styleId="a4">
    <w:name w:val="footer"/>
    <w:basedOn w:val="a"/>
    <w:link w:val="Char0"/>
    <w:uiPriority w:val="99"/>
    <w:unhideWhenUsed/>
    <w:rsid w:val="00D31557"/>
    <w:pPr>
      <w:tabs>
        <w:tab w:val="center" w:pos="4153"/>
        <w:tab w:val="right" w:pos="8306"/>
      </w:tabs>
      <w:snapToGrid w:val="0"/>
      <w:jc w:val="left"/>
    </w:pPr>
    <w:rPr>
      <w:sz w:val="18"/>
      <w:szCs w:val="18"/>
    </w:rPr>
  </w:style>
  <w:style w:type="character" w:customStyle="1" w:styleId="Char0">
    <w:name w:val="页脚 Char"/>
    <w:basedOn w:val="a0"/>
    <w:link w:val="a4"/>
    <w:uiPriority w:val="99"/>
    <w:rsid w:val="00D31557"/>
    <w:rPr>
      <w:sz w:val="18"/>
      <w:szCs w:val="18"/>
    </w:rPr>
  </w:style>
  <w:style w:type="character" w:styleId="a5">
    <w:name w:val="annotation reference"/>
    <w:basedOn w:val="a0"/>
    <w:uiPriority w:val="99"/>
    <w:semiHidden/>
    <w:unhideWhenUsed/>
    <w:rsid w:val="0036734D"/>
    <w:rPr>
      <w:sz w:val="21"/>
      <w:szCs w:val="21"/>
    </w:rPr>
  </w:style>
  <w:style w:type="paragraph" w:styleId="a6">
    <w:name w:val="annotation text"/>
    <w:basedOn w:val="a"/>
    <w:link w:val="Char1"/>
    <w:uiPriority w:val="99"/>
    <w:semiHidden/>
    <w:unhideWhenUsed/>
    <w:rsid w:val="0036734D"/>
    <w:pPr>
      <w:jc w:val="left"/>
    </w:pPr>
  </w:style>
  <w:style w:type="character" w:customStyle="1" w:styleId="Char1">
    <w:name w:val="批注文字 Char"/>
    <w:basedOn w:val="a0"/>
    <w:link w:val="a6"/>
    <w:uiPriority w:val="99"/>
    <w:semiHidden/>
    <w:rsid w:val="0036734D"/>
  </w:style>
  <w:style w:type="paragraph" w:styleId="a7">
    <w:name w:val="annotation subject"/>
    <w:basedOn w:val="a6"/>
    <w:next w:val="a6"/>
    <w:link w:val="Char2"/>
    <w:uiPriority w:val="99"/>
    <w:semiHidden/>
    <w:unhideWhenUsed/>
    <w:rsid w:val="0036734D"/>
    <w:rPr>
      <w:b/>
      <w:bCs/>
    </w:rPr>
  </w:style>
  <w:style w:type="character" w:customStyle="1" w:styleId="Char2">
    <w:name w:val="批注主题 Char"/>
    <w:basedOn w:val="Char1"/>
    <w:link w:val="a7"/>
    <w:uiPriority w:val="99"/>
    <w:semiHidden/>
    <w:rsid w:val="0036734D"/>
    <w:rPr>
      <w:b/>
      <w:bCs/>
    </w:rPr>
  </w:style>
  <w:style w:type="paragraph" w:styleId="a8">
    <w:name w:val="Balloon Text"/>
    <w:basedOn w:val="a"/>
    <w:link w:val="Char3"/>
    <w:uiPriority w:val="99"/>
    <w:semiHidden/>
    <w:unhideWhenUsed/>
    <w:rsid w:val="0036734D"/>
    <w:rPr>
      <w:sz w:val="18"/>
      <w:szCs w:val="18"/>
    </w:rPr>
  </w:style>
  <w:style w:type="character" w:customStyle="1" w:styleId="Char3">
    <w:name w:val="批注框文本 Char"/>
    <w:basedOn w:val="a0"/>
    <w:link w:val="a8"/>
    <w:uiPriority w:val="99"/>
    <w:semiHidden/>
    <w:rsid w:val="0036734D"/>
    <w:rPr>
      <w:sz w:val="18"/>
      <w:szCs w:val="18"/>
    </w:rPr>
  </w:style>
  <w:style w:type="paragraph" w:styleId="a9">
    <w:name w:val="Normal (Web)"/>
    <w:basedOn w:val="a"/>
    <w:uiPriority w:val="99"/>
    <w:unhideWhenUsed/>
    <w:rsid w:val="001457D5"/>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4151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dc:creator>
  <cp:keywords/>
  <dc:description/>
  <cp:lastModifiedBy>程璞</cp:lastModifiedBy>
  <cp:revision>61</cp:revision>
  <dcterms:created xsi:type="dcterms:W3CDTF">2017-12-19T02:59:00Z</dcterms:created>
  <dcterms:modified xsi:type="dcterms:W3CDTF">2019-05-13T07:54:00Z</dcterms:modified>
</cp:coreProperties>
</file>